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Минпросвещения России от 25.05.2022 N 362</w:t>
              <w:br/>
              <w:t xml:space="preserve">(ред. от 03.07.2024)</w:t>
              <w:br/>
              <w:t xml:space="preserve">"Об утверждении федерального государственного образовательного стандарта среднего профессионального образования по специальности 09.02.01 Компьютерные системы и комплексы"</w:t>
              <w:br/>
              <w:t xml:space="preserve">(Зарегистрировано в Минюсте России 28.06.2022 N 69046)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0"/>
        <w:outlineLvl w:val="0"/>
        <w:jc w:val="both"/>
      </w:pPr>
      <w:r>
        <w:rPr>
          <w:sz w:val="24"/>
        </w:rPr>
        <w:t xml:space="preserve">Зарегистрировано в Минюсте России 28 июня 2022 г. N 69046</w:t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МИНИСТЕРСТВО ПРОСВЕЩЕНИЯ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25 мая 2022 г. N 362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</w:t>
      </w:r>
    </w:p>
    <w:p>
      <w:pPr>
        <w:pStyle w:val="2"/>
        <w:jc w:val="center"/>
      </w:pPr>
      <w:r>
        <w:rPr>
          <w:sz w:val="24"/>
        </w:rPr>
        <w:t xml:space="preserve">ФЕДЕРАЛЬНОГО ГОСУДАРСТВЕННОГО ОБРАЗОВАТЕЛЬНОГО СТАНДАРТА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09.02.01 КОМПЬЮТЕРНЫЕ СИСТЕМЫ И КОМПЛЕКСЫ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9" w:tooltip="Постановление Правительства РФ от 28.07.2018 N 884 (ред. от 23.04.2026) &quot;Об утверждении Положения о Министерстве просвещения Российской Федерации и признании утратившими силу некоторых актов Правительства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подпунктом 4.2.30 пункта 4</w:t>
        </w:r>
      </w:hyperlink>
      <w:r>
        <w:rPr>
          <w:sz w:val="24"/>
        </w:rPr>
        <w:t xml:space="preserve"> Положения о Министерстве просвещения Российской Федерации, утвержденного постановлением Правительства Российской Федерации от 28 июля 2018 г. N 884 (Собрание законодательства Российской Федерации, 2018, N 32, ст. 5343), и </w:t>
      </w:r>
      <w:hyperlink w:history="0" r:id="rId10" w:tooltip="Постановление Правительства РФ от 12.04.2019 N 434 (ред. от 20.07.2024) &quot;Об утверждении Правил разработки, утверждения федеральных государственных образовательных стандартов и внесения в них изменений и признании утратившими силу некоторых актов Правительства Российской Федерации&quot; {КонсультантПлюс}">
        <w:r>
          <w:rPr>
            <w:sz w:val="24"/>
            <w:color w:val="0000ff"/>
          </w:rPr>
          <w:t xml:space="preserve">пунктом 27</w:t>
        </w:r>
      </w:hyperlink>
      <w:r>
        <w:rPr>
          <w:sz w:val="24"/>
        </w:rPr>
        <w:t xml:space="preserve"> Правил разработки, утверждения федеральных государственных образовательных стандартов и внесения в них изменений, утвержденных постановлением Правительства Российской Федерации от 12 апреля 2019 г. N 434 (Собрание законодательства Российской Федерации, 2019, N 16, ст. 1942),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прилагаемый федеральный государственный образовательный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профессионального образования по специальности 09.02.01 Компьютерные системы и комплексы (далее - стандарт).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Установить, что: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вправе осуществлять в соответствии со </w:t>
      </w:r>
      <w:hyperlink w:history="0" w:anchor="P36" w:tooltip="ФЕДЕРАЛЬНЫЙ ГОСУДАРСТВЕННЫЙ ОБРАЗОВАТЕЛЬНЫЙ СТАНДАРТ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обучение лиц, зачисленных до вступления в силу настоящего приказа, с их согласия;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на обучение в соответствии с федеральным государственным образовательным </w:t>
      </w:r>
      <w:hyperlink w:history="0" r:id="rId11" w:tooltip="Приказ Минобрнауки России от 28.07.2014 N 849 (ред. от 13.07.2021) &quot;Об утверждении федерального государственного образовательного стандарта среднего профессионального образования по специальности 09.02.01 Компьютерные системы и комплексы&quot; (Зарегистрировано в Минюсте России 21.08.2014 N 33748) {КонсультантПлюс}">
        <w:r>
          <w:rPr>
            <w:sz w:val="24"/>
            <w:color w:val="0000ff"/>
          </w:rPr>
          <w:t xml:space="preserve">стандартом</w:t>
        </w:r>
      </w:hyperlink>
      <w:r>
        <w:rPr>
          <w:sz w:val="24"/>
        </w:rPr>
        <w:t xml:space="preserve"> среднего профессионального образования по специальности </w:t>
      </w:r>
      <w:hyperlink w:history="0" r:id="rId12" w:tooltip="Приказ Минобрнауки России от 29.10.2013 N 1199 (ред. от 20.01.2021) &quot;Об утверждении перечней профессий и специальностей среднего профессионального образования&quot; (Зарегистрировано в Минюсте России 26.12.2013 N 30861) {КонсультантПлюс}">
        <w:r>
          <w:rPr>
            <w:sz w:val="24"/>
            <w:color w:val="0000ff"/>
          </w:rPr>
          <w:t xml:space="preserve">09.02.01</w:t>
        </w:r>
      </w:hyperlink>
      <w:r>
        <w:rPr>
          <w:sz w:val="24"/>
        </w:rPr>
        <w:t xml:space="preserve"> Компьютерные системы и комплексы, утвержденным приказом Министерства образования и науки Российской Федерации от 28 июля 2014 г. N 849 (зарегистрирован Министерством юстиции Российской Федерации 21 августа 2014 г., регистрационный N 33748), с изменениями, внесенными приказом Министерства просвещения Российской Федерации от 13 июля 2021 г. N 450 (зарегистрирован Министерством юстиции Российской Федерации 14 октября 2021 г., регистрационный N 65410), прекращается с 31 декабря 2022 г., а при реализации образовательной организацией образовательной программы по специальности </w:t>
      </w:r>
      <w:hyperlink w:history="0" r:id="rId13" w:tooltip="Приказ Минпросвещения России от 17.05.2022 N 336 (ред. от 19.02.2026) &quot;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, указанных в этих перечнях, профессиям и специальностям среднего профессионального образования, перечни которых утверждены приказом Министерства образования и науки Российской Федерации от 29 октября 2013 г. N 1199 &quot;Об утверждении перечней професс {КонсультантПлюс}">
        <w:r>
          <w:rPr>
            <w:sz w:val="24"/>
            <w:color w:val="0000ff"/>
          </w:rPr>
          <w:t xml:space="preserve">09.02.01</w:t>
        </w:r>
      </w:hyperlink>
      <w:r>
        <w:rPr>
          <w:sz w:val="24"/>
        </w:rPr>
        <w:t xml:space="preserve"> Компьютерные системы и комплексы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проводимого в соответствии с </w:t>
      </w:r>
      <w:hyperlink w:history="0" r:id="rId14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Российской Федерации от 16 марта 2022 г. N 387 (Собрание законодательства Российской Федерации, 2022, N 12, ст. 1871), - с 1 августа 2022 года.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С.С.КРАВЦОВ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 Министерства просвещения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25 мая 2022 г. N 362</w:t>
      </w:r>
    </w:p>
    <w:p>
      <w:pPr>
        <w:pStyle w:val="0"/>
        <w:jc w:val="both"/>
      </w:pPr>
      <w:r>
        <w:rPr>
          <w:sz w:val="24"/>
        </w:rPr>
      </w:r>
    </w:p>
    <w:bookmarkStart w:id="36" w:name="P36"/>
    <w:bookmarkEnd w:id="36"/>
    <w:p>
      <w:pPr>
        <w:pStyle w:val="2"/>
        <w:jc w:val="center"/>
      </w:pPr>
      <w:r>
        <w:rPr>
          <w:sz w:val="24"/>
        </w:rPr>
        <w:t xml:space="preserve">ФЕДЕРАЛЬНЫЙ ГОСУДАРСТВЕННЫЙ ОБРАЗОВАТЕЛЬНЫЙ СТАНДАРТ</w:t>
      </w:r>
    </w:p>
    <w:p>
      <w:pPr>
        <w:pStyle w:val="2"/>
        <w:jc w:val="center"/>
      </w:pPr>
      <w:r>
        <w:rPr>
          <w:sz w:val="24"/>
        </w:rPr>
        <w:t xml:space="preserve">СРЕДНЕГО ПРОФЕССИОНАЛЬНОГО ОБРАЗОВАНИЯ ПО СПЕЦИАЛЬНОСТИ</w:t>
      </w:r>
    </w:p>
    <w:p>
      <w:pPr>
        <w:pStyle w:val="2"/>
        <w:jc w:val="center"/>
      </w:pPr>
      <w:r>
        <w:rPr>
          <w:sz w:val="24"/>
        </w:rPr>
        <w:t xml:space="preserve">09.02.01 КОМПЬЮТЕРНЫЕ СИСТЕМЫ И КОМПЛЕКСЫ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1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Минпросвещения России от 03.07.2024 N 464)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  <w:jc w:val="both"/>
      </w:pPr>
      <w:r>
        <w:rPr>
          <w:sz w:val="24"/>
        </w:rPr>
      </w:r>
    </w:p>
    <w:bookmarkStart w:id="44" w:name="P44"/>
    <w:bookmarkEnd w:id="44"/>
    <w:p>
      <w:pPr>
        <w:pStyle w:val="0"/>
        <w:ind w:firstLine="540"/>
        <w:jc w:val="both"/>
      </w:pPr>
      <w:r>
        <w:rPr>
          <w:sz w:val="24"/>
        </w:rPr>
        <w:t xml:space="preserve">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09.02.01 Компьютерные системы и комплексы (далее соответственно - ФГОС СПО, образовательная программа, специальность) в соответствии с квалификацией специалиста среднего звена "специалист по компьютерным системам".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1.2. Получение образования по специальности допускается только в профессиональной образовательной организации или образовательной организации высшего образования (далее вместе - образовательная организация).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1.3. Образовательная программа, реализуемая на базе основного общего образования,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&lt;1&gt;, ФГОС СПО и положений федеральной основной общеобразовательной программы среднего общего образования с учетом получаемой специальности.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&lt;1&gt; Федеральный государственный образовательный </w:t>
      </w:r>
      <w:hyperlink w:history="0" r:id="rId17" w:tooltip="Приказ Минобрнауки России от 17.05.2012 N 413 (ред. от 12.02.2025) &quot;Об утверждении федерального государственного образовательного стандарта среднего общего образования&quot; (Зарегистрировано в Минюсте России 07.06.2012 N 24480) {КонсультантПлюс}">
        <w:r>
          <w:rPr>
            <w:sz w:val="24"/>
            <w:color w:val="0000ff"/>
          </w:rPr>
          <w:t xml:space="preserve">стандарт</w:t>
        </w:r>
      </w:hyperlink>
      <w:r>
        <w:rPr>
          <w:sz w:val="24"/>
        </w:rPr>
        <w:t xml:space="preserve"> среднего общего образования, утвержденный приказом Министерства образования и науки Российской Федерации от 17 мая 2012 г. N 413 (зарегистрирован Министерством юстиции Российской Федерации 7 июня 2012 г., регистрационный N 24480), с изменениями, внесенными приказами Министерства образования и науки Российской Федерации от 29 декабря 2014 г. N 1645 (зарегистрирован Министерством юстиции Российской Федерации 9 февраля 2015 г., регистрационный N 35953), от 31 декабря 2015 г. N 1578 (зарегистрирован Министерством юстиции Российской Федерации 9 февраля 2016 г., регистрационный N 41020), от 29 июня 2017 г. N 613 (зарегистрирован Министерством юстиции Российской Федерации 26 июля 2017 г., регистрационный N 47532), приказами Министерства просвещения Российской Федерации от 24 сентября 2020 г. N 519 (зарегистрирован Министерством юстиции Российской Федерации 23 декабря 2020 г., регистрационный N 61749), от 11 декабря 2020 г. N 712 (зарегистрирован Министерством юстиции Российской Федерации 25 декабря 2020 г., регистрационный N 61828), от 12 августа 2022 г. N 732 (зарегистрирован Министерством юстиции Российской Федерации 12 сентября 2022 г., регистрационный N 70034) и от 27 декабря 2023 г. N 1028 (зарегистрирован Министерством юстиции Российской Федерации 2 февраля 2024 г., регистрационный N 77121).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1.4. Обучение по образовательной программе в образовательной организации осуществляется в 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1.5. При реализации образовательной программы образовательная организация вправе применять электронное обучение и дистанционные образовательные технологии.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инвалидов 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приема-передачи информации в доступных для них формах.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1.6. Реализация образовательной программы осуществляется образовательной организацией как самостоятельно, так и посредством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деятельность при освоении образовательной программы или отдельных ее компонентов организуется в форме практической подготовки.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1.7. Воспитание обучающихся при освоении ими образовательной программы осуществляется на основе включаемых в образовательную программу рабочей программы воспитания и календарного плана воспитательной работы, разрабатываемых и утверждаемых с учетом включенных в соответствующую примерную образовательную программу, включенную в реестр примерных образовательных программ (далее - ПОП), примерной рабочей программы воспитания и примерного календарного плана воспитательной работы &lt;2&gt;.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&lt;2&gt; </w:t>
      </w:r>
      <w:hyperlink w:history="0" r:id="rId20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2 статьи 12.1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31, ст. 5063).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1.8. Образовательная программа реализуется на государственном языке Российской Федерации, если иное не определено локальным нормативным актом образовательной организации &lt;3&gt;.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&lt;3&gt; </w:t>
      </w:r>
      <w:hyperlink w:history="0" r:id="rId21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Статья 14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2018, N 32, ст. 5110).</w:t>
      </w:r>
    </w:p>
    <w:p>
      <w:pPr>
        <w:pStyle w:val="0"/>
        <w:jc w:val="both"/>
      </w:pPr>
      <w:r>
        <w:rPr>
          <w:sz w:val="24"/>
        </w:rPr>
      </w:r>
    </w:p>
    <w:bookmarkStart w:id="66" w:name="P66"/>
    <w:bookmarkEnd w:id="66"/>
    <w:p>
      <w:pPr>
        <w:pStyle w:val="0"/>
        <w:ind w:firstLine="540"/>
        <w:jc w:val="both"/>
      </w:pPr>
      <w:r>
        <w:rPr>
          <w:sz w:val="24"/>
        </w:rPr>
        <w:t xml:space="preserve">1.9. Срок получения образования по образовательной программе вне зависимости от применяемых образовательных технологий составляет: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среднего общего образования - 2 года 10 месяцев;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базе основного общего образования - 3 года 10 месяцев.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1.10. При обучении по индивидуальному учебному плану срок получения образования по образовательной программе составляет не более установленного срока получения образования.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обучении по индивидуальному учебному плану обучающихся инвалидов и лиц с ограниченными возможностями здоровья срок получения образования может быть увеличен не более чем на один год.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1.11. Конкретный срок получения образования по индивидуальному учебному плану, в том числе при ускоренном обучении, определяются образовательной организацией самостоятельно в пределах сроков, установленных </w:t>
      </w:r>
      <w:hyperlink w:history="0" w:anchor="P66" w:tooltip="1.9. Срок получения образования по образовательной программе вне зависимости от применяемых образовательных технологий составляет:">
        <w:r>
          <w:rPr>
            <w:sz w:val="24"/>
            <w:color w:val="0000ff"/>
          </w:rPr>
          <w:t xml:space="preserve">пунктом 1.9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1.12. Для определения объема образовательной программы образовательной организацией может быть применена система зачетных единиц, при этом одна зачетная единица соответствует 32 - 36 академическим часам.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1.13. Срок получения образования по образовательной программе, реализуемой в условиях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а также объем такой образовательной программы могут быть уменьшены с учетом соответствующей ПОП, но не более чем на 40 процентов от срока получения образования и объема образовательной программы, установленных ФГОС СПО &lt;4&gt;.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&lt;4&gt; </w:t>
      </w:r>
      <w:hyperlink w:history="0" r:id="rId23" w:tooltip="Постановление Правительства РФ от 16.03.2022 N 387 &quot;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сионалитет&quot; (вместе с &quot;Положением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&quot;Профес ------------ Утратил силу или отменен {КонсультантПлюс}">
        <w:r>
          <w:rPr>
            <w:sz w:val="24"/>
            <w:color w:val="0000ff"/>
          </w:rPr>
          <w:t xml:space="preserve">Пункт 11</w:t>
        </w:r>
      </w:hyperlink>
      <w:r>
        <w:rPr>
          <w:sz w:val="24"/>
        </w:rPr>
        <w:t xml:space="preserve"> Положения о проведении эксперимента по разработке, апробации и внедрению новой образовательной технологии конструирования образовательных программ среднего профессионального образования в рамках федерального проекта "Профессионалитет", утвержденного постановлением Правительства Российской Федерации от 16 марта 2022 г. N 387 (Собрание законодательства Российской Федерации, 2022, N 12, ст. 1871).</w:t>
      </w:r>
    </w:p>
    <w:p>
      <w:pPr>
        <w:pStyle w:val="0"/>
        <w:jc w:val="both"/>
      </w:pPr>
      <w:r>
        <w:rPr>
          <w:sz w:val="24"/>
        </w:rPr>
      </w:r>
    </w:p>
    <w:bookmarkStart w:id="78" w:name="P78"/>
    <w:bookmarkEnd w:id="78"/>
    <w:p>
      <w:pPr>
        <w:pStyle w:val="0"/>
        <w:ind w:firstLine="540"/>
        <w:jc w:val="both"/>
      </w:pPr>
      <w:r>
        <w:rPr>
          <w:sz w:val="24"/>
        </w:rPr>
        <w:t xml:space="preserve">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</w:t>
      </w:r>
      <w:hyperlink w:history="0" r:id="rId24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06</w:t>
        </w:r>
      </w:hyperlink>
      <w:r>
        <w:rPr>
          <w:sz w:val="24"/>
        </w:rPr>
        <w:t xml:space="preserve"> Связь, информационные и коммуникационные технологии &lt;5&gt;.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&lt;5&gt; </w:t>
      </w:r>
      <w:hyperlink w:history="0" r:id="rId25" w:tooltip="Приказ Минтруда России от 29.09.2014 N 667н (ред. от 09.03.2017) &quot;О реестре профессиональных стандартов (перечне видов профессиональной деятельности)&quot; (Зарегистрировано в Минюсте России 19.11.2014 N 34779) {КонсультантПлюс}">
        <w:r>
          <w:rPr>
            <w:sz w:val="24"/>
            <w:color w:val="0000ff"/>
          </w:rPr>
          <w:t xml:space="preserve">Таблица</w:t>
        </w:r>
      </w:hyperlink>
      <w:r>
        <w:rPr>
          <w:sz w:val="24"/>
        </w:rPr>
        <w:t xml:space="preserve"> приложения к приказу Министерства труда и социальной защиты Российской Федерации от 29 сентября 2014 г. N 667н "О реестре профессиональных стандартов (перечне видов профессиональной деятельности)" (зарегистрирован Министерством юстиции Российской Федерации 19 ноября 2014 г., регистрационный N 34779) с изменением, внесенным приказом Министерства труда и социальной защиты Российской Федерации от 9 марта 2017 г. N 254н (зарегистрирован Министерством юстиции Российской Федерации 29 марта 2017 г., регистрационный N 46168).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Выпускники могут осуществлять профессиональную деятельность в других областях 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1.15. При разработке образовательной программы образовательная организация устанавливает направленность, которая соответствует специальности в целом, с учетом соответствующей ПОП.</w:t>
      </w:r>
    </w:p>
    <w:p>
      <w:pPr>
        <w:pStyle w:val="0"/>
        <w:jc w:val="both"/>
      </w:pPr>
      <w:r>
        <w:rPr>
          <w:sz w:val="24"/>
        </w:rPr>
        <w:t xml:space="preserve">(п. 1.15 в ред. </w:t>
      </w:r>
      <w:hyperlink w:history="0" r:id="rId26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ТРЕБОВАНИЯ К СТРУКТУРЕ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Структура и объем образовательной программы </w:t>
      </w:r>
      <w:hyperlink w:history="0" w:anchor="P95" w:tooltip="Структура и объем образовательной программы">
        <w:r>
          <w:rPr>
            <w:sz w:val="24"/>
            <w:color w:val="0000ff"/>
          </w:rPr>
          <w:t xml:space="preserve">(таблица N 1)</w:t>
        </w:r>
      </w:hyperlink>
      <w:r>
        <w:rPr>
          <w:sz w:val="24"/>
        </w:rPr>
        <w:t xml:space="preserve"> включает: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дисциплины (модули);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государственную итоговую аттестацию.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1</w:t>
      </w:r>
    </w:p>
    <w:p>
      <w:pPr>
        <w:pStyle w:val="0"/>
        <w:jc w:val="both"/>
      </w:pPr>
      <w:r>
        <w:rPr>
          <w:sz w:val="24"/>
        </w:rPr>
      </w:r>
    </w:p>
    <w:bookmarkStart w:id="95" w:name="P95"/>
    <w:bookmarkEnd w:id="95"/>
    <w:p>
      <w:pPr>
        <w:pStyle w:val="0"/>
        <w:jc w:val="center"/>
      </w:pPr>
      <w:r>
        <w:rPr>
          <w:sz w:val="24"/>
        </w:rPr>
        <w:t xml:space="preserve">Структура и объем 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92"/>
        <w:gridCol w:w="2777"/>
      </w:tblGrid>
      <w:tr>
        <w:tc>
          <w:tcPr>
            <w:tcW w:w="62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Структура образовательной программы</w:t>
            </w:r>
          </w:p>
        </w:tc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Объем образовательной программы, в академических часах</w:t>
            </w:r>
          </w:p>
        </w:tc>
      </w:tr>
      <w:tr>
        <w:tc>
          <w:tcPr>
            <w:tcW w:w="6292" w:type="dxa"/>
          </w:tcPr>
          <w:p>
            <w:pPr>
              <w:pStyle w:val="0"/>
            </w:pPr>
            <w:r>
              <w:rPr>
                <w:sz w:val="24"/>
              </w:rPr>
              <w:t xml:space="preserve">Дисциплины (модули)</w:t>
            </w:r>
          </w:p>
        </w:tc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2052</w:t>
            </w:r>
          </w:p>
        </w:tc>
      </w:tr>
      <w:tr>
        <w:tc>
          <w:tcPr>
            <w:tcW w:w="6292" w:type="dxa"/>
          </w:tcPr>
          <w:p>
            <w:pPr>
              <w:pStyle w:val="0"/>
            </w:pPr>
            <w:r>
              <w:rPr>
                <w:sz w:val="24"/>
              </w:rPr>
              <w:t xml:space="preserve">Практика</w:t>
            </w:r>
          </w:p>
        </w:tc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Не менее 900</w:t>
            </w:r>
          </w:p>
        </w:tc>
      </w:tr>
      <w:tr>
        <w:tc>
          <w:tcPr>
            <w:tcW w:w="6292" w:type="dxa"/>
          </w:tcPr>
          <w:p>
            <w:pPr>
              <w:pStyle w:val="0"/>
            </w:pPr>
            <w:r>
              <w:rPr>
                <w:sz w:val="24"/>
              </w:rPr>
              <w:t xml:space="preserve">Государственная итоговая аттестация</w:t>
            </w:r>
          </w:p>
        </w:tc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216</w:t>
            </w:r>
          </w:p>
        </w:tc>
      </w:tr>
      <w:tr>
        <w:tc>
          <w:tcPr>
            <w:gridSpan w:val="2"/>
            <w:tcW w:w="906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Общий объем образовательной программы:</w:t>
            </w:r>
          </w:p>
        </w:tc>
      </w:tr>
      <w:tr>
        <w:tc>
          <w:tcPr>
            <w:tcW w:w="6292" w:type="dxa"/>
          </w:tcPr>
          <w:p>
            <w:pPr>
              <w:pStyle w:val="0"/>
            </w:pPr>
            <w:r>
              <w:rPr>
                <w:sz w:val="24"/>
              </w:rPr>
              <w:t xml:space="preserve">на базе среднего общего образования</w:t>
            </w:r>
          </w:p>
        </w:tc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4464</w:t>
            </w:r>
          </w:p>
        </w:tc>
      </w:tr>
      <w:tr>
        <w:tblPrEx>
          <w:tblBorders>
            <w:insideH w:val="nil"/>
          </w:tblBorders>
        </w:tblPrEx>
        <w:tc>
          <w:tcPr>
            <w:tcW w:w="6292" w:type="dxa"/>
            <w:tcBorders>
              <w:bottom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на базе основного общего образования, включая получение среднего общего образования на основе требований федерального государственного образовательного стандарта среднего общего образования</w:t>
            </w:r>
          </w:p>
        </w:tc>
        <w:tc>
          <w:tcPr>
            <w:tcW w:w="2777" w:type="dxa"/>
            <w:tcBorders>
              <w:bottom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5940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2"/>
            <w:tcW w:w="9069" w:type="dxa"/>
            <w:tcBorders>
              <w:top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(в ред. </w:t>
            </w:r>
            <w:hyperlink w:history="0" r:id="rId2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</w:rPr>
              <w:t xml:space="preserve"> Минпросвещения России от 03.07.2024 N 464)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2.2. Образовательная программа включает циклы: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социально-гуманитарный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общепрофессиональный цикл;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профессиональный цикл.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2.3. В рамках образовательной программы выделяются обязательная часть и часть, формируемая участниками образовательных отношений (вариативная часть).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Обязательная часть образовательной программы направлена на формирование общих и профессиональных компетенций, предусмотренных </w:t>
      </w:r>
      <w:hyperlink w:history="0" w:anchor="P144" w:tooltip="III. ТРЕБОВАНИЯ К РЕЗУЛЬТАТАМ ОСВОЕНИЯ">
        <w:r>
          <w:rPr>
            <w:sz w:val="24"/>
            <w:color w:val="0000ff"/>
          </w:rPr>
          <w:t xml:space="preserve">главой III</w:t>
        </w:r>
      </w:hyperlink>
      <w:r>
        <w:rPr>
          <w:sz w:val="24"/>
        </w:rPr>
        <w:t xml:space="preserve"> ФГОС СПО.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Объем обязательной части без учета объема государственной итоговой аттестации должен составлять не более 70 процентов от общего объема времени, отведенного на освоение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Вариативная часть образовательной программы объемом не менее 30 процентов от общего объема времени, отведенного на освоение образовательной программы дает возможность дальнейшего развития общих и профессиональных компетенций, в том числе за счет расширения видов деятельности, введения дополнительных видов деятельности, а также дополнительных профессиональных компетенций, необходимых для обеспечения конкурентоспособности выпускника в соответствии с потребностями регионального рынка труда, а также с учетом требований цифровой экономики.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Конкретное соотношение обязательной и вариативной частей образовательной программы, объемные параметры циклов и практики образовательная организация определяет самостоятельно в соответствии с требованиями настоящего пункта, а также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8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bookmarkStart w:id="122" w:name="P122"/>
    <w:bookmarkEnd w:id="122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9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проектирование цифровых систем;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проектирование управляющих программ компьютерных систем и комплексов;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техническое обслуживание и ремонт компьютерных систем и комплексов.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2.5. Образовательная организация при необходимости самостоятельно формирует виды деятельности в дополнение к видам деятельности, указанным в </w:t>
      </w:r>
      <w:hyperlink w:history="0" w:anchor="P122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пункте 2.4</w:t>
        </w:r>
      </w:hyperlink>
      <w:r>
        <w:rPr>
          <w:sz w:val="24"/>
        </w:rPr>
        <w:t xml:space="preserve"> ФГОС СПО, в рамках вариативной части.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2.6. При освоении социально-гуманитарного, общепрофессионального и профессионального циклов (далее - учебные циклы) выделяется объем учебных занятий, практики (в профессиональном цикле) и самостоятельной работы.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На проведение учебных занятий и практики должно быть выделено не менее 70 процентов от объема учебных циклов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учебные циклы включается промежуточная аттестация обучающихся, которая осуществляется в рамках освоения указанных циклов в соответствии с формой, определяемой образовательной организацией, и оценочными материалами, позволяющими оценить достижение запланированных по отдельным дисциплинам (модулям) и практикам результатов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2.7. Обязательная часть социально-гуманитарного цикла образовательной программы должна предусматривать изучение следующих дисциплин: "История России", "Иностранный язык в профессиональной деятельности", "Безопасность жизнедеятельности", "Физическая культура", "Основы финансовой грамотности".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Общий объем дисциплины "Безопасность жизнедеятельности" не может быть менее 68 академических часов, из них на освоение основ военной службы (для юношей) - не менее 48 академических часов; для подгрупп девушек это время может быть использовано на освоение основ медицинских знаний.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Дисциплина "Физическая культура" должна способствовать формированию физической культуры выпускника и способности направленного использования средств физической культуры и спорта для сохранения и укрепления здоровья, психофизической подготовке к профессиональной деятельности, предупреждению профессиональных заболеваний.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Для обучающихся инвалидов и лиц с ограниченными возможностями здоровья образовательная организация устанавливает особый порядок освоения дисциплины "Физическая культура" с учетом состояния их здоровья.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2.8. Обязательная часть общепрофессионального цикла образовательной программы должна предусматривать изучение следующих дисциплин: "Элементы высшей математики"; "Дискретная математика"; "Инженерная компьютерная графика"; "Основы электротехники и электронной техники"; "Операционные системы и среды"; "Основы алгоритмизации и программирования"; "Метрология и электротехнические измерения"; "Информационные технологии".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2.9. Профессиональный цикл образовательной программы включает профессиональные модули, которые формируются в соответствии с видами деятельности, предусмотренными </w:t>
      </w:r>
      <w:hyperlink w:history="0" w:anchor="P122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дополнительными видами деятельности, сформированными образовательными организациями самостоятельно. В состав профессионального модуля входит один или несколько междисциплинарных курсов, которые устанавливаются образовательной организацией самостоятельно с учетом ПОП. Объем профессионального модуля составляет не менее 4 зачетных единиц.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0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2.10. Практика входит в профессиональный цикл и имеет следующие виды - учебная практика и производственная практика, которые реализуются в форме практической подготовки. Учебная и производственная практики реализуются как в несколько периодов, так и рассредоточение, чередуясь с учебными занятиями. Типы практики устанавливаются образовательной организацией самостоятельно с учетом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2.11. Образовательная организация должна предоставлять инвалидам и лицам с ограниченными возможностями здоровья (по их заявлению) возможность обучения по образовательной программе, учитывающей особенности их психофизического развития, индивидуальных возможностей и, при необходимости, обеспечивающей коррекцию нарушений развития и социальную адаптацию указанных лиц.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2.12. Государственная итоговая аттестация проводится в форме демонстрационного экзамена и защиты дипломного проекта (работы).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2.13. Государственная итоговая аттестация завершается присвоением квалификации специалиста среднего звена, указанной в </w:t>
      </w:r>
      <w:hyperlink w:history="0" w:anchor="P44" w:tooltip="1.1. Настоящий федеральный государственный образовательный стандарт среднего профессионального образования представляет собой совокупность обязательных требований при реализации образовательных программ среднего профессионального образования - программ подготовки специалистов среднего звена по специальности 09.02.01 Компьютерные системы и комплексы (далее соответственно - ФГОС СПО, образовательная программа, специальность) в соответствии с квалификацией специалиста среднего звена &quot;специалист по компьютер...">
        <w:r>
          <w:rPr>
            <w:sz w:val="24"/>
            <w:color w:val="0000ff"/>
          </w:rPr>
          <w:t xml:space="preserve">пункте 1.1</w:t>
        </w:r>
      </w:hyperlink>
      <w:r>
        <w:rPr>
          <w:sz w:val="24"/>
        </w:rPr>
        <w:t xml:space="preserve"> ФГОС СПО.</w:t>
      </w:r>
    </w:p>
    <w:p>
      <w:pPr>
        <w:pStyle w:val="0"/>
        <w:jc w:val="both"/>
      </w:pPr>
      <w:r>
        <w:rPr>
          <w:sz w:val="24"/>
        </w:rPr>
      </w:r>
    </w:p>
    <w:bookmarkStart w:id="144" w:name="P144"/>
    <w:bookmarkEnd w:id="144"/>
    <w:p>
      <w:pPr>
        <w:pStyle w:val="2"/>
        <w:outlineLvl w:val="1"/>
        <w:jc w:val="center"/>
      </w:pPr>
      <w:r>
        <w:rPr>
          <w:sz w:val="24"/>
        </w:rPr>
        <w:t xml:space="preserve">III. ТРЕБОВАНИЯ К РЕЗУЛЬТАТАМ ОСВОЕНИЯ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В результате освоения образовательной программы у выпускника должны быть сформированы общие и профессиональные компетенции.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3.2. Выпускник, освоивший образовательную программу, должен обладать следующими общими компетенциями (далее - ОК):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01. Выбирать способы решения задач профессиональной деятельности применительно к различным контекстам;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02. 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03.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04. Эффективно взаимодействовать и работать в коллективе и команде;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05.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06. 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08.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ОК 09. Пользоваться профессиональной документацией на государственном и иностранном языках.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3.3. Выпускник, освоивший образовательную программу, должен обладать профессиональными компетенциями (далее - ПК), соответствующими видам деятельности (Таблица N 2), предусмотренным </w:t>
      </w:r>
      <w:hyperlink w:history="0" w:anchor="P122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сформированными в том числе на основе профессиональных стандартов (при наличии), указанных в ПОП: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4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Таблица N 2</w:t>
      </w:r>
    </w:p>
    <w:p>
      <w:pPr>
        <w:pStyle w:val="0"/>
        <w:jc w:val="both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77"/>
        <w:gridCol w:w="6292"/>
      </w:tblGrid>
      <w:tr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Виды деятельности</w:t>
            </w:r>
          </w:p>
        </w:tc>
        <w:tc>
          <w:tcPr>
            <w:tcW w:w="62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Профессиональные компетенции, соответствующие видам деятельности</w:t>
            </w:r>
          </w:p>
        </w:tc>
      </w:tr>
      <w:tr>
        <w:tc>
          <w:tcPr>
            <w:tcW w:w="277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</w:t>
            </w:r>
          </w:p>
        </w:tc>
        <w:tc>
          <w:tcPr>
            <w:tcW w:w="6292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</w:t>
            </w:r>
          </w:p>
        </w:tc>
      </w:tr>
      <w:tr>
        <w:tc>
          <w:tcPr>
            <w:tcW w:w="2777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цифровых систем</w:t>
            </w:r>
          </w:p>
        </w:tc>
        <w:tc>
          <w:tcPr>
            <w:tcW w:w="62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1.1. Анализировать требования технического задания на проектирование цифровых систем.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1.2. Разрабатывать схемы электронных устройств на основе интегральных схем разной степени интеграции в соответствии с техническим заданием.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1.3. Оформлять техническую документацию на проектируемые устройства.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1.4. Выполнять прототипирование цифровых систем, в том числе - с применением виртуальных средств.</w:t>
            </w:r>
          </w:p>
        </w:tc>
      </w:tr>
      <w:tr>
        <w:tc>
          <w:tcPr>
            <w:tcW w:w="2777" w:type="dxa"/>
          </w:tcPr>
          <w:p>
            <w:pPr>
              <w:pStyle w:val="0"/>
            </w:pPr>
            <w:r>
              <w:rPr>
                <w:sz w:val="24"/>
              </w:rPr>
              <w:t xml:space="preserve">проектирование управляющих программ компьютерных систем и комплексов</w:t>
            </w:r>
          </w:p>
        </w:tc>
        <w:tc>
          <w:tcPr>
            <w:tcW w:w="6292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ПК 2.1. Проектировать, разрабатывать и отлаживать программный код модулей управляющих программ.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2.2. Владеть методами командной разработки программных продуктов.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2.3. Выполнять интеграцию модулей в управляющую программу.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2.4. Тестировать и верифицировать выпуски управляющих программ.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ПК 2.5. Выполнять установку и обновление версий управляющих программ (с учетом миграции - при необходимости).</w:t>
            </w:r>
          </w:p>
        </w:tc>
      </w:tr>
      <w:tr>
        <w:tc>
          <w:tcPr>
            <w:tcW w:w="2777" w:type="dxa"/>
          </w:tcPr>
          <w:p>
            <w:pPr>
              <w:pStyle w:val="0"/>
            </w:pPr>
            <w:r>
              <w:rPr>
                <w:sz w:val="24"/>
              </w:rPr>
              <w:t xml:space="preserve">техническое обслуживание и ремонт компьютерных систем и комплексов</w:t>
            </w:r>
          </w:p>
        </w:tc>
        <w:tc>
          <w:tcPr>
            <w:tcW w:w="6292" w:type="dxa"/>
          </w:tcPr>
          <w:p>
            <w:pPr>
              <w:pStyle w:val="0"/>
            </w:pPr>
            <w:r>
              <w:rPr>
                <w:sz w:val="24"/>
              </w:rPr>
              <w:t xml:space="preserve">ПК 3.1. Проводить контроль параметров, диагностику и восстановление работоспособности цифровых устройств компьютерных систем и комплексов.</w:t>
            </w:r>
          </w:p>
          <w:p>
            <w:pPr>
              <w:pStyle w:val="0"/>
            </w:pPr>
            <w:r>
              <w:rPr>
                <w:sz w:val="24"/>
              </w:rPr>
              <w:t xml:space="preserve">ПК 3.2. Проверять работоспособность, выполнять обнаружение и устранять дефекты программного кода управляющих программ компьютерных систем и комплексов.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3.4. Образовательная организация при необходимости самостоятельно включает в образовательную программу дополнительные профессиональные компетенции по видам деятельности, установленным в соответствии с </w:t>
      </w:r>
      <w:hyperlink w:history="0" w:anchor="P122" w:tooltip="2.4. Образовательная программа разрабатывается образовательной организацией в соответствии с ФГОС СПО с учетом ПОП и предполагает освоение следующих видов деятельности:">
        <w:r>
          <w:rPr>
            <w:sz w:val="24"/>
            <w:color w:val="0000ff"/>
          </w:rPr>
          <w:t xml:space="preserve">пунктом 2.4</w:t>
        </w:r>
      </w:hyperlink>
      <w:r>
        <w:rPr>
          <w:sz w:val="24"/>
        </w:rPr>
        <w:t xml:space="preserve"> ФГОС СПО, а также по видам деятельности, сформированным в вариативной части образовательной программы образовательной организацией для учета потребностей регионального рынка труда.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Образовательная организация при необходимости вводит в вариативную часть учебных циклов образовательной программы модуль по освоению компетенций цифровой экономики, соответствующих одному или нескольким видам деятельности, осваиваемых в рамках образовательной программы.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3.5. Образовательная организация с учетом ПОП самостоятельно планирует результаты обучения по отдельным дисциплинам (модулям) и практикам, которые должны быть соотнесены с требуемыми результатами освоения образовательной программы.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3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Совокупность запланированных результатов обучения по дисциплинам (модулям) и практикам должна обеспечивать выпускнику освоение всех компетенций, установленных образовательной программой.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3.6. Обучающиеся, осваивающие образовательную программу, могут освоить профессию рабочего, должность служащего (одну или несколько) в соответствии с перечнем профессий рабочих, должностей служащих, по которым осуществляется профессиональное обучение &lt;6&gt;.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&lt;6&gt; </w:t>
      </w:r>
      <w:hyperlink w:history="0" r:id="rId36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Часть 7 статьи 73</w:t>
        </w:r>
      </w:hyperlink>
      <w:r>
        <w:rPr>
          <w:sz w:val="24"/>
        </w:rPr>
        <w:t xml:space="preserve"> Федерального закона от 29 декабря 2012 г. N 273-ФЗ "Об образовании в Российской Федерации" (Собрание законодательства Российской Федерации, 2012, N 53, ст. 7598; 2020, N 22, ст. 3379).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ТРЕБОВАНИЯ К УСЛОВИЯМ РЕАЛИЗАЦИИ</w:t>
      </w:r>
    </w:p>
    <w:p>
      <w:pPr>
        <w:pStyle w:val="2"/>
        <w:jc w:val="center"/>
      </w:pPr>
      <w:r>
        <w:rPr>
          <w:sz w:val="24"/>
        </w:rPr>
        <w:t xml:space="preserve">ОБРАЗОВАТЕЛЬНОЙ ПРОГРАММЫ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4.1. Образовательная организация осуществляет образовательную деятельность по реализации образовательной программы среднего профессионального образования в соответствии с действующими санитарными нормами и правилами &lt;7&gt;.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&lt;7&gt; Федеральный </w:t>
      </w:r>
      <w:hyperlink w:history="0" r:id="rId37" w:tooltip="Федеральный закон от 30.03.1999 N 52-ФЗ (ред. от 10.06.2026) &quot;О санитарно-эпидемиологическом благополучии населения&quot; {КонсультантПлюс}">
        <w:r>
          <w:rPr>
            <w:sz w:val="24"/>
            <w:color w:val="0000ff"/>
          </w:rPr>
          <w:t xml:space="preserve">закон</w:t>
        </w:r>
      </w:hyperlink>
      <w:r>
        <w:rPr>
          <w:sz w:val="24"/>
        </w:rPr>
        <w:t xml:space="preserve"> от 30 марта 1999 г. N 52-ФЗ "О санитарно-эпидемиологическом благополучии населения" (Собрание законодательства Российской Федерации, 1999, N 14, ст. 1650; 2021, N 27, ст. 5185);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санитарные </w:t>
      </w:r>
      <w:hyperlink w:history="0" r:id="rId38" w:tooltip="Постановление Главного государственного санитарного врача РФ от 28.09.2020 N 28 (ред. от 24.12.2025) &quot;Об утверждении санитарных правил СП 2.4.3648-20 &quot;Санитарно-эпидемиологические требования к организациям воспитания и обучения, отдыха и оздоровления детей и молодежи&quot; (вместе с &quot;СП 2.4.3648-20. Санитарные правила...&quot;) (Зарегистрировано в Минюсте России 18.12.2020 N 61573) ------------ Утратил силу или отменен {КонсультантПлюс}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СП 2.4.3648-20 "Санитарно-эпидемиологические требования к организациям воспитания и обучения, отдыха и оздоровления детей и молодежи", утвержденные постановлением Главного государственного санитарного врача Российской Федерации от 28 сентября 2020 г. N 28 (зарегистрировано Министерством юстиции Российской Федерации 18 декабря 2020 г., регистрационный N 61573);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санитарно-эпидемиологические правила и нормы </w:t>
      </w:r>
      <w:hyperlink w:history="0" r:id="rId39" w:tooltip="Постановление Главного государственного санитарного врача РФ от 27.10.2020 N 32 (ред. от 22.08.2024) &quot;Об утверждении санитарно-эпидемиологических правил и норм СанПиН 2.3/2.4.3590-20 &quot;Санитарно-эпидемиологические требования к организации общественного питания населения&quot; (вместе с &quot;СанПиН 2.3/2.4.3590-20. Санитарно-эпидемиологические правила и нормы...&quot;) (Зарегистрировано в Минюсте России 11.11.2020 N 60833) ------------ Утратил силу или отменен {КонсультантПлюс}">
        <w:r>
          <w:rPr>
            <w:sz w:val="24"/>
            <w:color w:val="0000ff"/>
          </w:rPr>
          <w:t xml:space="preserve">СанПиН 2.3/2.4.3590-20</w:t>
        </w:r>
      </w:hyperlink>
      <w:r>
        <w:rPr>
          <w:sz w:val="24"/>
        </w:rPr>
        <w:t xml:space="preserve"> "Санитарно-эпидемиологические требования к организации общественного питания населения", утвержденные постановлением Главного государственного санитарного врача Российской Федерации от 27 октября 2020 г. N 32 (зарегистрировано Министерством юстиции Российской Федерации 11 ноября 2020 г., регистрационный N 60833);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санитарные правила и нормы </w:t>
      </w:r>
      <w:hyperlink w:history="0" r:id="rId40" w:tooltip="Постановление Главного государственного санитарного врача РФ от 28.01.2021 N 2 (ред. от 24.12.2025) &quot;Об утверждении санитарных правил и норм СанПиН 1.2.3685-21 &quot;Гигиенические нормативы и требования к обеспечению безопасности и (или) безвредности для человека факторов среды обитания&quot; (вместе с &quot;СанПиН 1.2.3685-21. Санитарные правила и нормы...&quot;) (Зарегистрировано в Минюсте России 29.01.2021 N 62296) (с изм. и доп., вступ. в силу с 01.03.2026) {КонсультантПлюс}">
        <w:r>
          <w:rPr>
            <w:sz w:val="24"/>
            <w:color w:val="0000ff"/>
          </w:rPr>
          <w:t xml:space="preserve">СанПиН 1.2.3685-21</w:t>
        </w:r>
      </w:hyperlink>
      <w:r>
        <w:rPr>
          <w:sz w:val="24"/>
        </w:rPr>
        <w:t xml:space="preserve"> "Гигиенические нормативы и требования к обеспечению безопасности и (или) безвредности для человека факторов среды обитания", утвержденные постановлением Главного государственного санитарного врача Российской Федерации от 28 января 2021 г. N 2 (зарегистрировано Министерством юстиции Российской Федерации 29 января 2021 г., регистрационный N 62296).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4.2. Требования к условиям реализации образовательной программы включают в себя общесистемные требования, требования к материально-техническому, учебно-методическому обеспечению, к организации воспитания обучающихся, кадровым и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4.3. Общесистемные требования к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образовательная организация должна располагать на праве собственности или ином законном основании материально-технической базой, обеспечивающей проведение всех видов учебной деятельности обучающихся, включая проведение демонстрационного экзамена, предусмотренных учебным планом, с учетом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случае реализации образовательной программы с использованием сетевой формы требования к реализации образовательной программы должны обеспечиваться совокупностью ресурсов материально-технического и учебно-методического обеспечения, предоставляемого организациями, участвующими в реализации образовательной программы с использованием сетевой формы.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4.4. Требования к материально-техническому и учебно-методическому обеспечению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специальные помещения должны представлять собой учебные аудитории, лаборатории, мастерские, оснащенные оборудованием, техническими средствами обучения для проведения занятий всех видов, предусмотренных образовательной программой, в том числе групповых и индивидуальных консультаций, а также для проведения текущего контроля, промежуточной и государственной итоговой аттестации, помещения для организации самостоятельной и воспитательной работы;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все виды учебной деятельности обучающихся, предусмотренные учебным планом, включая промежуточную и государственную итоговую аттестацию, должны быть обеспечены расходными материалами;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помещения для организации самостоятельной и воспитательной работы должны быть оснащены компьютерной техникой с возможностью подключения к информационно-телекоммуникационной сети "Интернет" и обеспечением доступа в электронную информационно-образовательную среду образовательной организации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допускается замена оборудования его виртуальными аналогами;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образовательная организация должна быть обеспечена необходимым комплектом лицензионного и свободно распространяемого программного обеспечения, в том числе отечественного производства;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при использовании в образовательном процессе печатных изданий библиотечный фонд должен быть укомплектован печатными изданиями из расчета не менее 0,25 экземпляра каждого из изданий, указанных в рабочих программах дисциплин (модулей), практик, на одного обучающегося из числа лиц, одновременно осваивающих соответствующую дисциплину (модуль), проходящих соответствующую практику;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в качестве основной литературы образовательная организация использует учебники, учебные пособия, предусмотренные ПОП;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в случае наличия электронной информационно-образовательной среды допускается замена печатного библиотечного фонда с предоставлением права одновременного доступа не менее 25 процентов обучающихся к цифровой (электронной) библиотеке;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обучающимся должен быть обеспечен доступ (удаленный доступ), в том числе в случае применения электронного обучения, дистанционных образовательных технологий, 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образовательная программа должна обеспечиваться учебно-методической документацией по всем учебным дисциплинам (модулям), видам практики, видам государственной итоговой аттестации;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рекомендации по иному материально-техническому и учебно-методическому обеспечению реализации образовательной программы определяются ПОП.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3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4.5. Требования к кадровым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деятельности, указанной в </w:t>
      </w:r>
      <w:hyperlink w:history="0" w:anchor="P78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 (имеющих стаж работы в данной профессиональной области не менее трех лет);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и (или) профессиональных стандартах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педагогические 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8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</w:t>
      </w:r>
      <w:hyperlink w:history="0" w:anchor="P78" w:tooltip="1.14. Область профессиональной деятельности, в которой выпускники, освоившие образовательную программу, могут осуществлять профессиональную деятельность: 06 Связь, информационные и коммуникационные технологии &lt;5&gt;.">
        <w:r>
          <w:rPr>
            <w:sz w:val="24"/>
            <w:color w:val="0000ff"/>
          </w:rPr>
          <w:t xml:space="preserve">пункте 1.14</w:t>
        </w:r>
      </w:hyperlink>
      <w:r>
        <w:rPr>
          <w:sz w:val="24"/>
        </w:rPr>
        <w:t xml:space="preserve">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4.6. Требование к финансовым условиям реализации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финансовое обеспечение реализации образовательной программы должно осуществляться в объеме не ниже определенного в соответствии с бюджетным законодательством Российской Федерации &lt;8&gt; и Федеральным </w:t>
      </w:r>
      <w:hyperlink w:history="0" r:id="rId44" w:tooltip="Федеральный закон от 29.12.2012 N 273-ФЗ (ред. от 04.08.2026) &quot;Об образовании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29 декабря 2012 г. N 273-ФЗ "Об образовании в Российской Федерации".</w:t>
      </w:r>
    </w:p>
    <w:p>
      <w:pPr>
        <w:pStyle w:val="0"/>
        <w:jc w:val="both"/>
      </w:pPr>
      <w:r>
        <w:rPr>
          <w:sz w:val="24"/>
        </w:rPr>
        <w:t xml:space="preserve">(п. 4.6 в ред. </w:t>
      </w:r>
      <w:hyperlink w:history="0" r:id="rId45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--------------------------------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&lt;8&gt; Бюджетный </w:t>
      </w:r>
      <w:hyperlink w:history="0" r:id="rId46" w:tooltip="&quot;Бюджетный кодекс Российской Федерации&quot; от 31.07.1998 N 145-ФЗ (ред. от 26.06.2026) (с изм. и доп., вступ. в силу с 01.09.2026) {КонсультантПлюс}">
        <w:r>
          <w:rPr>
            <w:sz w:val="24"/>
            <w:color w:val="0000ff"/>
          </w:rPr>
          <w:t xml:space="preserve">кодекс</w:t>
        </w:r>
      </w:hyperlink>
      <w:r>
        <w:rPr>
          <w:sz w:val="24"/>
        </w:rPr>
        <w:t xml:space="preserve"> Российской Федерации.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4.7. Требования к применяемым механизмам оценки качества образовательной программы: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качество образовательной программы определяется в рамках системы внутренней оценки, а также системы внешней оценки на добровольной основе;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 целях совершенствования образовательной программы образовательная организация при проведении регулярной внутренней оценки качества образовательной программы привлекает работодателей и их объединения, иных юридических и (или) физических лиц, включая педагогических работников образовательной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внешняя оценка качества образовательной программы может осуществляться в рамках профессионально-общественной аккредитации, проводимой работодателями, их объединениями, а также уполномоченными ими организациями в целях признания качества и уровня подготовки выпускников, отвечающих требованиям профессиональных стандартов, требованиям рынка труда к специалистам соответствующего профиля.</w:t>
      </w:r>
    </w:p>
    <w:p>
      <w:pPr>
        <w:pStyle w:val="0"/>
        <w:jc w:val="both"/>
      </w:pPr>
      <w:r>
        <w:rPr>
          <w:sz w:val="24"/>
        </w:rPr>
        <w:t xml:space="preserve">(пп. "в" в ред. </w:t>
      </w:r>
      <w:hyperlink w:history="0" r:id="rId47" w:tooltip="Приказ Минпросвещения России от 03.07.2024 N 464 &quot;О внесении изменений в федеральные государственные образовательные стандарты среднего профессионального образования&quot; (Зарегистрировано в Минюсте России 09.08.2024 N 79088)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Минпросвещения России от 03.07.2024 N 464)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Минпросвещения России от 25.05.2022 N 362</w:t>
            <w:br/>
            <w:t>(ред. от 03.07.2024)</w:t>
            <w:br/>
            <w:t>"Об утверждении федерального государственного обра...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90&amp;date=07.10.2026&amp;dst=110363&amp;field=134" TargetMode = "External"/><Relationship Id="rId9" Type="http://schemas.openxmlformats.org/officeDocument/2006/relationships/hyperlink" Target="https://login.consultant.ru/link/?req=doc&amp;base=LAW&amp;n=532973&amp;date=07.10.2026&amp;dst=100051&amp;field=134" TargetMode = "External"/><Relationship Id="rId10" Type="http://schemas.openxmlformats.org/officeDocument/2006/relationships/hyperlink" Target="https://login.consultant.ru/link/?req=doc&amp;base=LAW&amp;n=481262&amp;date=07.10.2026&amp;dst=100072&amp;field=134" TargetMode = "External"/><Relationship Id="rId11" Type="http://schemas.openxmlformats.org/officeDocument/2006/relationships/hyperlink" Target="https://login.consultant.ru/link/?req=doc&amp;base=LAW&amp;n=398361&amp;date=07.10.2026&amp;dst=100012&amp;field=134" TargetMode = "External"/><Relationship Id="rId12" Type="http://schemas.openxmlformats.org/officeDocument/2006/relationships/hyperlink" Target="https://login.consultant.ru/link/?req=doc&amp;base=LAW&amp;n=377712&amp;date=07.10.2026&amp;dst=101019&amp;field=134" TargetMode = "External"/><Relationship Id="rId13" Type="http://schemas.openxmlformats.org/officeDocument/2006/relationships/hyperlink" Target="https://login.consultant.ru/link/?req=doc&amp;base=LAW&amp;n=530300&amp;date=07.10.2026&amp;dst=100618&amp;field=134" TargetMode = "External"/><Relationship Id="rId14" Type="http://schemas.openxmlformats.org/officeDocument/2006/relationships/hyperlink" Target="https://login.consultant.ru/link/?req=doc&amp;base=LAW&amp;n=411930&amp;date=07.10.2026" TargetMode = "External"/><Relationship Id="rId15" Type="http://schemas.openxmlformats.org/officeDocument/2006/relationships/hyperlink" Target="https://login.consultant.ru/link/?req=doc&amp;base=LAW&amp;n=483090&amp;date=07.10.2026&amp;dst=110363&amp;field=134" TargetMode = "External"/><Relationship Id="rId16" Type="http://schemas.openxmlformats.org/officeDocument/2006/relationships/hyperlink" Target="https://login.consultant.ru/link/?req=doc&amp;base=LAW&amp;n=483090&amp;date=07.10.2026&amp;dst=110364&amp;field=134" TargetMode = "External"/><Relationship Id="rId17" Type="http://schemas.openxmlformats.org/officeDocument/2006/relationships/hyperlink" Target="https://login.consultant.ru/link/?req=doc&amp;base=LAW&amp;n=501142&amp;date=07.10.2026&amp;dst=4&amp;field=134" TargetMode = "External"/><Relationship Id="rId18" Type="http://schemas.openxmlformats.org/officeDocument/2006/relationships/hyperlink" Target="https://login.consultant.ru/link/?req=doc&amp;base=LAW&amp;n=483090&amp;date=07.10.2026&amp;dst=110365&amp;field=134" TargetMode = "External"/><Relationship Id="rId19" Type="http://schemas.openxmlformats.org/officeDocument/2006/relationships/hyperlink" Target="https://login.consultant.ru/link/?req=doc&amp;base=LAW&amp;n=483090&amp;date=07.10.2026&amp;dst=110366&amp;field=134" TargetMode = "External"/><Relationship Id="rId20" Type="http://schemas.openxmlformats.org/officeDocument/2006/relationships/hyperlink" Target="https://login.consultant.ru/link/?req=doc&amp;base=LAW&amp;n=527217&amp;date=07.10.2026&amp;dst=446&amp;field=134" TargetMode = "External"/><Relationship Id="rId21" Type="http://schemas.openxmlformats.org/officeDocument/2006/relationships/hyperlink" Target="https://login.consultant.ru/link/?req=doc&amp;base=LAW&amp;n=527217&amp;date=07.10.2026&amp;dst=100249&amp;field=134" TargetMode = "External"/><Relationship Id="rId22" Type="http://schemas.openxmlformats.org/officeDocument/2006/relationships/hyperlink" Target="https://login.consultant.ru/link/?req=doc&amp;base=LAW&amp;n=483090&amp;date=07.10.2026&amp;dst=110367&amp;field=134" TargetMode = "External"/><Relationship Id="rId23" Type="http://schemas.openxmlformats.org/officeDocument/2006/relationships/hyperlink" Target="https://login.consultant.ru/link/?req=doc&amp;base=LAW&amp;n=411930&amp;date=07.10.2026&amp;dst=100030&amp;field=134" TargetMode = "External"/><Relationship Id="rId24" Type="http://schemas.openxmlformats.org/officeDocument/2006/relationships/hyperlink" Target="https://login.consultant.ru/link/?req=doc&amp;base=LAW&amp;n=214720&amp;date=07.10.2026&amp;dst=100060&amp;field=134" TargetMode = "External"/><Relationship Id="rId25" Type="http://schemas.openxmlformats.org/officeDocument/2006/relationships/hyperlink" Target="https://login.consultant.ru/link/?req=doc&amp;base=LAW&amp;n=214720&amp;date=07.10.2026&amp;dst=100047&amp;field=134" TargetMode = "External"/><Relationship Id="rId26" Type="http://schemas.openxmlformats.org/officeDocument/2006/relationships/hyperlink" Target="https://login.consultant.ru/link/?req=doc&amp;base=LAW&amp;n=483090&amp;date=07.10.2026&amp;dst=110368&amp;field=134" TargetMode = "External"/><Relationship Id="rId27" Type="http://schemas.openxmlformats.org/officeDocument/2006/relationships/hyperlink" Target="https://login.consultant.ru/link/?req=doc&amp;base=LAW&amp;n=483090&amp;date=07.10.2026&amp;dst=110370&amp;field=134" TargetMode = "External"/><Relationship Id="rId28" Type="http://schemas.openxmlformats.org/officeDocument/2006/relationships/hyperlink" Target="https://login.consultant.ru/link/?req=doc&amp;base=LAW&amp;n=483090&amp;date=07.10.2026&amp;dst=110380&amp;field=134" TargetMode = "External"/><Relationship Id="rId29" Type="http://schemas.openxmlformats.org/officeDocument/2006/relationships/hyperlink" Target="https://login.consultant.ru/link/?req=doc&amp;base=LAW&amp;n=483090&amp;date=07.10.2026&amp;dst=110382&amp;field=134" TargetMode = "External"/><Relationship Id="rId30" Type="http://schemas.openxmlformats.org/officeDocument/2006/relationships/hyperlink" Target="https://login.consultant.ru/link/?req=doc&amp;base=LAW&amp;n=483090&amp;date=07.10.2026&amp;dst=110384&amp;field=134" TargetMode = "External"/><Relationship Id="rId31" Type="http://schemas.openxmlformats.org/officeDocument/2006/relationships/hyperlink" Target="https://login.consultant.ru/link/?req=doc&amp;base=LAW&amp;n=483090&amp;date=07.10.2026&amp;dst=110385&amp;field=134" TargetMode = "External"/><Relationship Id="rId32" Type="http://schemas.openxmlformats.org/officeDocument/2006/relationships/hyperlink" Target="https://login.consultant.ru/link/?req=doc&amp;base=LAW&amp;n=483090&amp;date=07.10.2026&amp;dst=110387&amp;field=134" TargetMode = "External"/><Relationship Id="rId33" Type="http://schemas.openxmlformats.org/officeDocument/2006/relationships/hyperlink" Target="https://login.consultant.ru/link/?req=doc&amp;base=LAW&amp;n=483090&amp;date=07.10.2026&amp;dst=110388&amp;field=134" TargetMode = "External"/><Relationship Id="rId34" Type="http://schemas.openxmlformats.org/officeDocument/2006/relationships/hyperlink" Target="https://login.consultant.ru/link/?req=doc&amp;base=LAW&amp;n=483090&amp;date=07.10.2026&amp;dst=110389&amp;field=134" TargetMode = "External"/><Relationship Id="rId35" Type="http://schemas.openxmlformats.org/officeDocument/2006/relationships/hyperlink" Target="https://login.consultant.ru/link/?req=doc&amp;base=LAW&amp;n=483090&amp;date=07.10.2026&amp;dst=110391&amp;field=134" TargetMode = "External"/><Relationship Id="rId36" Type="http://schemas.openxmlformats.org/officeDocument/2006/relationships/hyperlink" Target="https://login.consultant.ru/link/?req=doc&amp;base=LAW&amp;n=527217&amp;date=07.10.2026&amp;dst=415&amp;field=134" TargetMode = "External"/><Relationship Id="rId37" Type="http://schemas.openxmlformats.org/officeDocument/2006/relationships/hyperlink" Target="https://login.consultant.ru/link/?req=doc&amp;base=LAW&amp;n=536587&amp;date=07.10.2026" TargetMode = "External"/><Relationship Id="rId38" Type="http://schemas.openxmlformats.org/officeDocument/2006/relationships/hyperlink" Target="https://login.consultant.ru/link/?req=doc&amp;base=LAW&amp;n=522968&amp;date=07.10.2026&amp;dst=100047&amp;field=134" TargetMode = "External"/><Relationship Id="rId39" Type="http://schemas.openxmlformats.org/officeDocument/2006/relationships/hyperlink" Target="https://login.consultant.ru/link/?req=doc&amp;base=LAW&amp;n=494597&amp;date=07.10.2026&amp;dst=100037&amp;field=134" TargetMode = "External"/><Relationship Id="rId40" Type="http://schemas.openxmlformats.org/officeDocument/2006/relationships/hyperlink" Target="https://login.consultant.ru/link/?req=doc&amp;base=LAW&amp;n=517341&amp;date=07.10.2026&amp;dst=100137&amp;field=134" TargetMode = "External"/><Relationship Id="rId41" Type="http://schemas.openxmlformats.org/officeDocument/2006/relationships/hyperlink" Target="https://login.consultant.ru/link/?req=doc&amp;base=LAW&amp;n=483090&amp;date=07.10.2026&amp;dst=110392&amp;field=134" TargetMode = "External"/><Relationship Id="rId42" Type="http://schemas.openxmlformats.org/officeDocument/2006/relationships/hyperlink" Target="https://login.consultant.ru/link/?req=doc&amp;base=LAW&amp;n=483090&amp;date=07.10.2026&amp;dst=110394&amp;field=134" TargetMode = "External"/><Relationship Id="rId43" Type="http://schemas.openxmlformats.org/officeDocument/2006/relationships/hyperlink" Target="https://login.consultant.ru/link/?req=doc&amp;base=LAW&amp;n=483090&amp;date=07.10.2026&amp;dst=110395&amp;field=134" TargetMode = "External"/><Relationship Id="rId44" Type="http://schemas.openxmlformats.org/officeDocument/2006/relationships/hyperlink" Target="https://login.consultant.ru/link/?req=doc&amp;base=LAW&amp;n=527217&amp;date=07.10.2026" TargetMode = "External"/><Relationship Id="rId45" Type="http://schemas.openxmlformats.org/officeDocument/2006/relationships/hyperlink" Target="https://login.consultant.ru/link/?req=doc&amp;base=LAW&amp;n=483090&amp;date=07.10.2026&amp;dst=110396&amp;field=134" TargetMode = "External"/><Relationship Id="rId46" Type="http://schemas.openxmlformats.org/officeDocument/2006/relationships/hyperlink" Target="https://login.consultant.ru/link/?req=doc&amp;base=LAW&amp;n=513926&amp;date=07.10.2026" TargetMode = "External"/><Relationship Id="rId47" Type="http://schemas.openxmlformats.org/officeDocument/2006/relationships/hyperlink" Target="https://login.consultant.ru/link/?req=doc&amp;base=LAW&amp;n=483090&amp;date=07.10.2026&amp;dst=110401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Минпросвещения России от 25.05.2022 N 362
(ред. от 03.07.2024)
"Об утверждении федерального государственного образовательного стандарта среднего профессионального образования по специальности 09.02.01 Компьютерные системы и комплексы"
(Зарегистрировано в Минюсте России 28.06.2022 N 69046)</dc:title>
  <dcterms:created xsi:type="dcterms:W3CDTF">2026-10-07T06:33:51Z</dcterms:created>
</cp:coreProperties>
</file>