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Минпросвещения России от 29.07.2022 N 633</w:t>
              <w:br/>
              <w:t xml:space="preserve">(ред. от 03.07.2024)</w:t>
              <w:br/>
              <w:t xml:space="preserve">"Об утверждении федерального государственного образовательного стандарта среднего профессионального образования по специальности 27.02.04 Автоматические системы управления"</w:t>
              <w:br/>
              <w:t xml:space="preserve">(Зарегистрировано в Минюсте России 31.08.2022 N 69868)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07.10.2026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0"/>
        <w:outlineLvl w:val="0"/>
        <w:jc w:val="both"/>
      </w:pPr>
      <w:r>
        <w:rPr>
          <w:sz w:val="24"/>
        </w:rPr>
        <w:t xml:space="preserve">Зарегистрировано в Минюсте России 31 августа 2022 г. N 69868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МИНИСТЕРСТВО ПРОСВЕЩЕНИЯ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29 июля 2022 г. N 633</w:t>
      </w:r>
    </w:p>
    <w:p>
      <w:pPr>
        <w:pStyle w:val="2"/>
        <w:ind w:firstLine="54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</w:t>
      </w:r>
    </w:p>
    <w:p>
      <w:pPr>
        <w:pStyle w:val="2"/>
        <w:jc w:val="center"/>
      </w:pPr>
      <w:r>
        <w:rPr>
          <w:sz w:val="24"/>
        </w:rPr>
        <w:t xml:space="preserve">ФЕДЕРАЛЬНОГО ГОСУДАРСТВЕННОГО ОБРАЗОВАТЕЛЬНОГО СТАНДАРТА</w:t>
      </w:r>
    </w:p>
    <w:p>
      <w:pPr>
        <w:pStyle w:val="2"/>
        <w:jc w:val="center"/>
      </w:pPr>
      <w:r>
        <w:rPr>
          <w:sz w:val="24"/>
        </w:rPr>
        <w:t xml:space="preserve">СРЕДНЕГО ПРОФЕССИОНАЛЬНОГО ОБРАЗОВАНИЯ ПО СПЕЦИАЛЬНОСТИ</w:t>
      </w:r>
    </w:p>
    <w:p>
      <w:pPr>
        <w:pStyle w:val="2"/>
        <w:jc w:val="center"/>
      </w:pPr>
      <w:r>
        <w:rPr>
          <w:sz w:val="24"/>
        </w:rPr>
        <w:t xml:space="preserve">27.02.04 АВТОМАТИЧЕСКИЕ СИСТЕМЫ УПРАВЛЕНИЯ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hyperlink w:history="0" r:id="rId8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      <w:r>
                <w:rPr>
                  <w:sz w:val="24"/>
                  <w:color w:val="0000ff"/>
                </w:rPr>
                <w:t xml:space="preserve">Приказа</w:t>
              </w:r>
            </w:hyperlink>
            <w:r>
              <w:rPr>
                <w:sz w:val="24"/>
                <w:color w:val="392c69"/>
              </w:rPr>
              <w:t xml:space="preserve"> Минпросвещения России от 03.07.2024 N 464)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hyperlink w:history="0" r:id="rId9" w:tooltip="Постановление Правительства РФ от 28.07.2018 N 884 (ред. от 23.04.2026) &quot;Об утверждении Положения о Министерстве просвещения Российской Федерации и признании утратившими силу некоторых актов Правительства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подпунктом 4.2.30 пункта 4</w:t>
        </w:r>
      </w:hyperlink>
      <w:r>
        <w:rPr>
          <w:sz w:val="24"/>
        </w:rPr>
        <w:t xml:space="preserve"> Положения о Министерстве просвещения Российской Федерации, утвержденного постановлением Правительства Российской Федерации от 28 июля 2018 г. N 884 (Собрание законодательства Российской Федерации, 2018, N 32, ст. 5343), и </w:t>
      </w:r>
      <w:hyperlink w:history="0" r:id="rId10" w:tooltip="Постановление Правительства РФ от 12.04.2019 N 434 (ред. от 20.07.2024) &quot;Об утверждении Правил разработки, утверждения федеральных государственных образовательных стандартов и внесения в них изменений и признании утратившими силу некоторых актов Правительства Российской Федерации&quot; {КонсультантПлюс}">
        <w:r>
          <w:rPr>
            <w:sz w:val="24"/>
            <w:color w:val="0000ff"/>
          </w:rPr>
          <w:t xml:space="preserve">пунктом 27</w:t>
        </w:r>
      </w:hyperlink>
      <w:r>
        <w:rPr>
          <w:sz w:val="24"/>
        </w:rPr>
        <w:t xml:space="preserve"> Правил разработки, утверждения федеральных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12 апреля 2019 г. N 434 (Собрание законодательства Российской Федерации, 2019, N 16, ст. 1942), приказываю: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 прилагаемый федеральный государственный образовательный </w:t>
      </w:r>
      <w:hyperlink w:history="0" w:anchor="P36" w:tooltip="ФЕДЕРАЛЬНЫЙ ГОСУДАРСТВЕННЫЙ ОБРАЗОВАТЕЛЬНЫЙ СТАНДАРТ">
        <w:r>
          <w:rPr>
            <w:sz w:val="24"/>
            <w:color w:val="0000ff"/>
          </w:rPr>
          <w:t xml:space="preserve">стандарт</w:t>
        </w:r>
      </w:hyperlink>
      <w:r>
        <w:rPr>
          <w:sz w:val="24"/>
        </w:rPr>
        <w:t xml:space="preserve"> среднего профессионального образования по специальности 27.02.04 Автоматические системы управления (далее - стандарт).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Установить, что: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образовательная организация вправе осуществлять в соответствии со </w:t>
      </w:r>
      <w:hyperlink w:history="0" w:anchor="P36" w:tooltip="ФЕДЕРАЛЬНЫЙ ГОСУДАРСТВЕННЫЙ ОБРАЗОВАТЕЛЬНЫЙ СТАНДАРТ">
        <w:r>
          <w:rPr>
            <w:sz w:val="24"/>
            <w:color w:val="0000ff"/>
          </w:rPr>
          <w:t xml:space="preserve">стандартом</w:t>
        </w:r>
      </w:hyperlink>
      <w:r>
        <w:rPr>
          <w:sz w:val="24"/>
        </w:rPr>
        <w:t xml:space="preserve"> обучение лиц, зачисленных до вступления в силу настоящего приказа, с их согласия;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прием на обучение в соответствии с федеральным государственным образовательным </w:t>
      </w:r>
      <w:hyperlink w:history="0" r:id="rId11" w:tooltip="Приказ Минобрнауки России от 07.05.2014 N 448 (ред. от 13.07.2021) &quot;Об утверждении федерального государственного образовательного стандарта среднего профессионального образования по специальности 27.02.04 Автоматические системы управления&quot; (Зарегистрировано в Минюсте России 02.06.2014 N 32519) {КонсультантПлюс}">
        <w:r>
          <w:rPr>
            <w:sz w:val="24"/>
            <w:color w:val="0000ff"/>
          </w:rPr>
          <w:t xml:space="preserve">стандартом</w:t>
        </w:r>
      </w:hyperlink>
      <w:r>
        <w:rPr>
          <w:sz w:val="24"/>
        </w:rPr>
        <w:t xml:space="preserve"> среднего профессионального образования по специальности </w:t>
      </w:r>
      <w:hyperlink w:history="0" r:id="rId12" w:tooltip="Приказ Минпросвещения России от 17.05.2022 N 336 (ред. от 19.02.2026) &quot;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 {КонсультантПлюс}">
        <w:r>
          <w:rPr>
            <w:sz w:val="24"/>
            <w:color w:val="0000ff"/>
          </w:rPr>
          <w:t xml:space="preserve">27.02.04</w:t>
        </w:r>
      </w:hyperlink>
      <w:r>
        <w:rPr>
          <w:sz w:val="24"/>
        </w:rPr>
        <w:t xml:space="preserve"> Автоматические системы управления, утвержденным приказом Министерства образования и науки Российской Федерации от 7 мая 2014 г. N 448 (зарегистрирован Министерством юстиции Российской Федерации 2 июня 2014 г., регистрационный N 32519), с изменениями, внесенными приказом Министерства просвещения Российской Федерации от 13 июля 2021 г. N 450 (зарегистрирован Министерством юстиции Российской Федерации 4 октября 2021 г., регистрационный N 65410), прекращается с 31 декабря 2022 года.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Министр</w:t>
      </w:r>
    </w:p>
    <w:p>
      <w:pPr>
        <w:pStyle w:val="0"/>
        <w:jc w:val="right"/>
      </w:pPr>
      <w:r>
        <w:rPr>
          <w:sz w:val="24"/>
        </w:rPr>
        <w:t xml:space="preserve">С.С.КРАВЦОВ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Утвержден</w:t>
      </w:r>
    </w:p>
    <w:p>
      <w:pPr>
        <w:pStyle w:val="0"/>
        <w:jc w:val="right"/>
      </w:pPr>
      <w:r>
        <w:rPr>
          <w:sz w:val="24"/>
        </w:rPr>
        <w:t xml:space="preserve">приказом Министерства просвещения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29 июля 2022 г. N 633</w:t>
      </w:r>
    </w:p>
    <w:p>
      <w:pPr>
        <w:pStyle w:val="0"/>
        <w:jc w:val="both"/>
      </w:pPr>
      <w:r>
        <w:rPr>
          <w:sz w:val="24"/>
        </w:rPr>
      </w:r>
    </w:p>
    <w:bookmarkStart w:id="36" w:name="P36"/>
    <w:bookmarkEnd w:id="36"/>
    <w:p>
      <w:pPr>
        <w:pStyle w:val="2"/>
        <w:jc w:val="center"/>
      </w:pPr>
      <w:r>
        <w:rPr>
          <w:sz w:val="24"/>
        </w:rPr>
        <w:t xml:space="preserve">ФЕДЕРАЛЬНЫЙ ГОСУДАРСТВЕННЫЙ ОБРАЗОВАТЕЛЬНЫЙ СТАНДАРТ</w:t>
      </w:r>
    </w:p>
    <w:p>
      <w:pPr>
        <w:pStyle w:val="2"/>
        <w:jc w:val="center"/>
      </w:pPr>
      <w:r>
        <w:rPr>
          <w:sz w:val="24"/>
        </w:rPr>
        <w:t xml:space="preserve">СРЕДНЕГО ПРОФЕССИОНАЛЬНОГО ОБРАЗОВАНИЯ ПО СПЕЦИАЛЬНОСТИ</w:t>
      </w:r>
    </w:p>
    <w:p>
      <w:pPr>
        <w:pStyle w:val="2"/>
        <w:jc w:val="center"/>
      </w:pPr>
      <w:r>
        <w:rPr>
          <w:sz w:val="24"/>
        </w:rPr>
        <w:t xml:space="preserve">27.02.04 АВТОМАТИЧЕСКИЕ СИСТЕМЫ УПРАВЛЕНИЯ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hyperlink w:history="0" r:id="rId13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      <w:r>
                <w:rPr>
                  <w:sz w:val="24"/>
                  <w:color w:val="0000ff"/>
                </w:rPr>
                <w:t xml:space="preserve">Приказа</w:t>
              </w:r>
            </w:hyperlink>
            <w:r>
              <w:rPr>
                <w:sz w:val="24"/>
                <w:color w:val="392c69"/>
              </w:rPr>
              <w:t xml:space="preserve"> Минпросвещения России от 03.07.2024 N 464)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I. ОБЩИЕ ПОЛОЖЕНИЯ</w:t>
      </w:r>
    </w:p>
    <w:p>
      <w:pPr>
        <w:pStyle w:val="0"/>
        <w:jc w:val="both"/>
      </w:pPr>
      <w:r>
        <w:rPr>
          <w:sz w:val="24"/>
        </w:rPr>
      </w:r>
    </w:p>
    <w:bookmarkStart w:id="44" w:name="P44"/>
    <w:bookmarkEnd w:id="44"/>
    <w:p>
      <w:pPr>
        <w:pStyle w:val="0"/>
        <w:ind w:firstLine="540"/>
        <w:jc w:val="both"/>
      </w:pPr>
      <w:r>
        <w:rPr>
          <w:sz w:val="24"/>
        </w:rPr>
        <w:t xml:space="preserve">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при реализации образовательных программ среднего профессионального образования - программ подготовки специалистов среднего звена по специальности 27.02.04 Автоматические системы управления (далее соответственно - ФГОС СПО, образовательная программа, специальность) в соответствии с квалификацией специалиста среднего звена "техник" &lt;1&gt;.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&lt;1&gt; </w:t>
      </w:r>
      <w:hyperlink w:history="0" r:id="rId14" w:tooltip="Приказ Минпросвещения России от 17.05.2022 N 336 (ред. от 19.02.2026) &quot;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 {КонсультантПлюс}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специальностей среднего профессионального образования, утвержденный приказом Министерства просвещения Российской Федерации от 17 мая 2022 г. N 336 (зарегистрирован Министерством юстиции Российской Федерации 17 июня 2022 г., регистрационный N 68887).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1.2. Получение образования по специальности допускается только в профессиональной образовательной организации или образовательной организации высшего образования (далее вместе - образовательная организация).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1.3. Образовательная программа, реализуемая на базе основного общего образования, разрабатывается образовательной организацией на основе требований федерального государственного образовательного </w:t>
      </w:r>
      <w:hyperlink w:history="0" r:id="rId15" w:tooltip="Приказ Минобрнауки России от 17.05.2012 N 413 (ред. от 12.02.2025) &quot;Об утверждении федерального государственного образовательного стандарта среднего общего образования&quot; (Зарегистрировано в Минюсте России 07.06.2012 N 24480) {КонсультантПлюс}">
        <w:r>
          <w:rPr>
            <w:sz w:val="24"/>
            <w:color w:val="0000ff"/>
          </w:rPr>
          <w:t xml:space="preserve">стандарта</w:t>
        </w:r>
      </w:hyperlink>
      <w:r>
        <w:rPr>
          <w:sz w:val="24"/>
        </w:rPr>
        <w:t xml:space="preserve"> среднего общего образования &lt;2&gt;, ФГОС СПО и положений федеральной основной общеобразовательной программы среднего общего образования с учетом получаемой специальности.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16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Минпросвещения России от 03.07.2024 N 464)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&lt;2&gt; Федеральный государственный образовательный </w:t>
      </w:r>
      <w:hyperlink w:history="0" r:id="rId17" w:tooltip="Приказ Минобрнауки России от 17.05.2012 N 413 (ред. от 12.02.2025) &quot;Об утверждении федерального государственного образовательного стандарта среднего общего образования&quot; (Зарегистрировано в Минюсте России 07.06.2012 N 24480) {КонсультантПлюс}">
        <w:r>
          <w:rPr>
            <w:sz w:val="24"/>
            <w:color w:val="0000ff"/>
          </w:rPr>
          <w:t xml:space="preserve">стандарт</w:t>
        </w:r>
      </w:hyperlink>
      <w:r>
        <w:rPr>
          <w:sz w:val="24"/>
        </w:rPr>
        <w:t xml:space="preserve"> среднего общего образования, утвержденный приказом Министерства образования и науки Российской Федерации от 17 мая 2012 г. N 413 (зарегистрирован Министерством юстиции Российской Федерации 7 июня 2012 г., регистрационный N 24480), с изменениями, внесенными приказами Министерства образования и науки Российской Федерации от 29 декабря 2014 г. N 1645 (зарегистрирован Министерством юстиции Российской Федерации 9 февраля 2015 г., регистрационный N 35953), от 31 декабря 2015 г. N 1578 (зарегистрирован Министерством юстиции Российской Федерации 9 февраля 2016 г., регистрационный N 41020), от 29 июня 2017 г. N 613 (зарегистрирован Министерством юстиции Российской Федерации 26 июля 2017 г., регистрационный N 47532), приказами Министерства просвещения Российской Федерации от 24 сентября 2020 г. N 519 (зарегистрирован Министерством юстиции Российской Федерации 23 декабря 2020 г., регистрационный N 61749), от 11 декабря 2020 г. N 712 (зарегистрирован Министерством юстиции Российской Федерации 25 декабря 2020 г., регистрационный N 61828), от 12 августа 2022 г. N 732 (зарегистрирован Министерством юстиции Российской Федерации 12 сентября 2022 г., регистрационный N 70034) и от 27 декабря 2023 г. N 1028 (зарегистрирован Министерством юстиции Российской Федерации 2 февраля 2024 г., регистрационный N 77121).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18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Минпросвещения России от 03.07.2024 N 464)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1.4. Обучение по образовательной программе в образовательной организации осуществляется в очной, очно-заочной и заочной формах обучения.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1.5. При реализации образовательной программы образовательная организация вправе применять электронное обучение и дистанционные образовательные технологии.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обучении инвалидов 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приема-передачи информации в доступных для них формах.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1.6. Реализация образовательной программы осуществляется образовательной организацией как самостоятельно, так и посредством сетевой формы.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1.7. Воспитание обучающихся при освоении ими образовательной программы осуществляется на основе включаемых в образовательную программу рабочей программы воспитания и календарного плана воспитательной работы, разрабатываемых и утверждаемых с учетом включенных в соответствующую примерную образовательную программу, включенную в реестр примерных образовательных программ (далее - ПОП), примерной рабочей программы воспитания и примерного календарного плана воспитательной работы &lt;3&gt;.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19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Минпросвещения России от 03.07.2024 N 464)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&lt;3&gt; </w:t>
      </w:r>
      <w:hyperlink w:history="0" r:id="rId20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Часть 2 статьи 12.1</w:t>
        </w:r>
      </w:hyperlink>
      <w:r>
        <w:rPr>
          <w:sz w:val="24"/>
        </w:rP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2020, N 31, ст. 5063).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1.8. Образовательная программа реализуется на государственном языке Российской Федерации, если иное не определено локальным нормативным актом образовательной организации &lt;4&gt;.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&lt;4&gt; </w:t>
      </w:r>
      <w:hyperlink w:history="0" r:id="rId21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Статья 14</w:t>
        </w:r>
      </w:hyperlink>
      <w:r>
        <w:rPr>
          <w:sz w:val="24"/>
        </w:rP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2018, N 32, ст. 5110).</w:t>
      </w:r>
    </w:p>
    <w:p>
      <w:pPr>
        <w:pStyle w:val="0"/>
        <w:jc w:val="both"/>
      </w:pPr>
      <w:r>
        <w:rPr>
          <w:sz w:val="24"/>
        </w:rPr>
      </w:r>
    </w:p>
    <w:bookmarkStart w:id="69" w:name="P69"/>
    <w:bookmarkEnd w:id="69"/>
    <w:p>
      <w:pPr>
        <w:pStyle w:val="0"/>
        <w:ind w:firstLine="540"/>
        <w:jc w:val="both"/>
      </w:pPr>
      <w:r>
        <w:rPr>
          <w:sz w:val="24"/>
        </w:rPr>
        <w:t xml:space="preserve">1.9. Срок получения образования по образовательной программе в очной форме обучения вне зависимости от применяемых образовательных технологий составляет: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базе среднего общего образования - 1 год 10 месяцев;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базе основного общего образования - 2 года 10 месяцев.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 получения образования по образовательной программе в очно-заочной и заочной формах обучения, вне зависимости от применяемых образовательных технологий, увеличивается по сравнению со сроком получения образования в очной форме обучения не более чем на 1 год.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1.10. При обучении по индивидуальному учебному плану срок получения образования по образовательной программе, вне зависимости от формы обучения, составляет не более срока получения образования, установленного для соответствующей формы обучения.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обучении по индивидуальному учебному плану обучающихся инвалидов и лиц с ограниченными возможностями здоровья срок получения образования может быть увеличен не более чем на один год по сравнению со сроком получения образования для соответствующей формы обучения.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1.11. Конкретный срок получения образования в очно-заочной и заочной формах обучения, а также по индивидуальному учебному плану, в том числе при ускоренном обучении, определяются образовательной организацией самостоятельно в пределах сроков, установленных </w:t>
      </w:r>
      <w:hyperlink w:history="0" w:anchor="P69" w:tooltip="1.9. Срок получения образования по образовательной программе в очной форме обучения вне зависимости от применяемых образовательных технологий составляет:">
        <w:r>
          <w:rPr>
            <w:sz w:val="24"/>
            <w:color w:val="0000ff"/>
          </w:rPr>
          <w:t xml:space="preserve">пунктом 1.9</w:t>
        </w:r>
      </w:hyperlink>
      <w:r>
        <w:rPr>
          <w:sz w:val="24"/>
        </w:rPr>
        <w:t xml:space="preserve"> ФГОС СПО.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1.12. Для определения объема образовательной программы образовательной организацией может быть применена система зачетных единиц, при этом одна зачетная единица соответствует 32 - 36 академическим часам.</w:t>
      </w:r>
    </w:p>
    <w:bookmarkStart w:id="77" w:name="P77"/>
    <w:bookmarkEnd w:id="77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1.13. Области профессиональной деятельности, в которых выпускники, освоившие образовательную программу, могут осуществлять профессиональную деятельность: </w:t>
      </w:r>
      <w:hyperlink w:history="0" r:id="rId22" w:tooltip="Приказ Минтруда России от 29.09.2014 N 667н (ред. от 09.03.2017) &quot;О реестре профессиональных стандартов (перечне видов профессиональной деятельности)&quot; (Зарегистрировано в Минюсте России 19.11.2014 N 34779) {КонсультантПлюс}">
        <w:r>
          <w:rPr>
            <w:sz w:val="24"/>
            <w:color w:val="0000ff"/>
          </w:rPr>
          <w:t xml:space="preserve">28</w:t>
        </w:r>
      </w:hyperlink>
      <w:r>
        <w:rPr>
          <w:sz w:val="24"/>
        </w:rPr>
        <w:t xml:space="preserve"> Производство машин и оборудования, </w:t>
      </w:r>
      <w:hyperlink w:history="0" r:id="rId23" w:tooltip="Приказ Минтруда России от 29.09.2014 N 667н (ред. от 09.03.2017) &quot;О реестре профессиональных стандартов (перечне видов профессиональной деятельности)&quot; (Зарегистрировано в Минюсте России 19.11.2014 N 34779) {КонсультантПлюс}">
        <w:r>
          <w:rPr>
            <w:sz w:val="24"/>
            <w:color w:val="0000ff"/>
          </w:rPr>
          <w:t xml:space="preserve">40</w:t>
        </w:r>
      </w:hyperlink>
      <w:r>
        <w:rPr>
          <w:sz w:val="24"/>
        </w:rPr>
        <w:t xml:space="preserve"> Сквозные виды профессиональной деятельности в промышленности &lt;5&gt;.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&lt;5&gt; </w:t>
      </w:r>
      <w:hyperlink w:history="0" r:id="rId24" w:tooltip="Приказ Минтруда России от 29.09.2014 N 667н (ред. от 09.03.2017) &quot;О реестре профессиональных стандартов (перечне видов профессиональной деятельности)&quot; (Зарегистрировано в Минюсте России 19.11.2014 N 34779) {КонсультантПлюс}">
        <w:r>
          <w:rPr>
            <w:sz w:val="24"/>
            <w:color w:val="0000ff"/>
          </w:rPr>
          <w:t xml:space="preserve">Таблица</w:t>
        </w:r>
      </w:hyperlink>
      <w:r>
        <w:rPr>
          <w:sz w:val="24"/>
        </w:rPr>
        <w:t xml:space="preserve"> приложения к приказу Министерства труда и социальной защиты Российской Федерации от 29 сентября 2014 г. N 667н "О реестре профессиональных стандартов (перечне видов профессиональной деятельности)" (зарегистрирован Министерством юстиции Российской Федерации 19 ноября 2014 г., регистрационный N 34779) с изменением, внесенным приказом Министерства труда и социальной защиты Российской Федерации от 9 марта 2017 г. N 254н (зарегистрирован Министерством юстиции Российской Федерации 29 марта 2017 г., регистрационный N 46168).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Выпускники могут осуществлять профессиональную деятельность в других областях профессиональной деятельности и (или) сферах профессиональной деятельности при условии соответствия уровня их образования и полученных компетенций требованиям к квалификации работника.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1.14. При разработке образовательной программы образовательная организация устанавливает направленность, которая соответствует специальности в целом, с учетом соответствующей ПОП.</w:t>
      </w:r>
    </w:p>
    <w:p>
      <w:pPr>
        <w:pStyle w:val="0"/>
        <w:jc w:val="both"/>
      </w:pPr>
      <w:r>
        <w:rPr>
          <w:sz w:val="24"/>
        </w:rPr>
        <w:t xml:space="preserve">(п. 1.14 в ред. </w:t>
      </w:r>
      <w:hyperlink w:history="0" r:id="rId25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Минпросвещения России от 03.07.2024 N 464)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1.15. Срок получения образования по образовательной программе, реализуемой в условиях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"Профессионалитет", а также объем такой образовательной программы могут быть уменьшены с учетом соответствующей ПОП, но не более чем на 40 процентов от срока получения образования и объема образовательной программы, установленных ФГОС СПО &lt;5(1)&gt;.</w:t>
      </w:r>
    </w:p>
    <w:p>
      <w:pPr>
        <w:pStyle w:val="0"/>
        <w:jc w:val="both"/>
      </w:pPr>
      <w:r>
        <w:rPr>
          <w:sz w:val="24"/>
        </w:rPr>
        <w:t xml:space="preserve">(п. 1.15 введен </w:t>
      </w:r>
      <w:hyperlink w:history="0" r:id="rId26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Минпросвещения России от 03.07.2024 N 464)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&lt;5(1)&gt; </w:t>
      </w:r>
      <w:hyperlink w:history="0" r:id="rId27" w:tooltip="Постановление Правительства РФ от 16.03.2022 N 387 &quot;О проведении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&quot;Профессионалитет&quot; (вместе с &quot;Положением о проведении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&quot;Профес ------------ Утратил силу или отменен {КонсультантПлюс}">
        <w:r>
          <w:rPr>
            <w:sz w:val="24"/>
            <w:color w:val="0000ff"/>
          </w:rPr>
          <w:t xml:space="preserve">Пункт 11</w:t>
        </w:r>
      </w:hyperlink>
      <w:r>
        <w:rPr>
          <w:sz w:val="24"/>
        </w:rPr>
        <w:t xml:space="preserve"> Положения о проведении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"Профессионалитет", утвержденного постановлением Правительства Российской Федерации от 16 марта 2022 г. N 387, действующим до 1 января 2026 г.</w:t>
      </w:r>
    </w:p>
    <w:p>
      <w:pPr>
        <w:pStyle w:val="0"/>
        <w:jc w:val="both"/>
      </w:pPr>
      <w:r>
        <w:rPr>
          <w:sz w:val="24"/>
        </w:rPr>
        <w:t xml:space="preserve">(сноска введена </w:t>
      </w:r>
      <w:hyperlink w:history="0" r:id="rId28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Минпросвещения России от 03.07.2024 N 464)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II. ТРЕБОВАНИЯ К СТРУКТУРЕ ОБРАЗОВАТЕЛЬНОЙ ПРОГРАММЫ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2.1. Структура и объем образовательной программы </w:t>
      </w:r>
      <w:hyperlink w:history="0" w:anchor="P99" w:tooltip="Структура и объем образовательной программы">
        <w:r>
          <w:rPr>
            <w:sz w:val="24"/>
            <w:color w:val="0000ff"/>
          </w:rPr>
          <w:t xml:space="preserve">(таблица N 1)</w:t>
        </w:r>
      </w:hyperlink>
      <w:r>
        <w:rPr>
          <w:sz w:val="24"/>
        </w:rPr>
        <w:t xml:space="preserve"> включает: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дисциплины (модули);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практику;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государственную итоговую аттестацию.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N 1</w:t>
      </w:r>
    </w:p>
    <w:p>
      <w:pPr>
        <w:pStyle w:val="0"/>
        <w:jc w:val="both"/>
      </w:pPr>
      <w:r>
        <w:rPr>
          <w:sz w:val="24"/>
        </w:rPr>
      </w:r>
    </w:p>
    <w:bookmarkStart w:id="99" w:name="P99"/>
    <w:bookmarkEnd w:id="99"/>
    <w:p>
      <w:pPr>
        <w:pStyle w:val="0"/>
        <w:jc w:val="center"/>
      </w:pPr>
      <w:r>
        <w:rPr>
          <w:sz w:val="24"/>
        </w:rPr>
        <w:t xml:space="preserve">Структура и объем образовательной программы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762"/>
        <w:gridCol w:w="4308"/>
      </w:tblGrid>
      <w:tr>
        <w:tc>
          <w:tcPr>
            <w:tcW w:w="4762" w:type="dxa"/>
          </w:tcPr>
          <w:p>
            <w:pPr>
              <w:pStyle w:val="0"/>
            </w:pPr>
            <w:r>
              <w:rPr>
                <w:sz w:val="24"/>
              </w:rPr>
              <w:t xml:space="preserve">Структура образовательной программы</w:t>
            </w:r>
          </w:p>
        </w:tc>
        <w:tc>
          <w:tcPr>
            <w:tcW w:w="430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Объем образовательной программы, в академических часах</w:t>
            </w:r>
          </w:p>
        </w:tc>
      </w:tr>
      <w:tr>
        <w:tc>
          <w:tcPr>
            <w:tcW w:w="4762" w:type="dxa"/>
          </w:tcPr>
          <w:p>
            <w:pPr>
              <w:pStyle w:val="0"/>
            </w:pPr>
            <w:r>
              <w:rPr>
                <w:sz w:val="24"/>
              </w:rPr>
              <w:t xml:space="preserve">Дисциплины (модули)</w:t>
            </w:r>
          </w:p>
        </w:tc>
        <w:tc>
          <w:tcPr>
            <w:tcW w:w="430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1476</w:t>
            </w:r>
          </w:p>
        </w:tc>
      </w:tr>
      <w:tr>
        <w:tc>
          <w:tcPr>
            <w:tcW w:w="4762" w:type="dxa"/>
          </w:tcPr>
          <w:p>
            <w:pPr>
              <w:pStyle w:val="0"/>
            </w:pPr>
            <w:r>
              <w:rPr>
                <w:sz w:val="24"/>
              </w:rPr>
              <w:t xml:space="preserve">Практика</w:t>
            </w:r>
          </w:p>
        </w:tc>
        <w:tc>
          <w:tcPr>
            <w:tcW w:w="430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432</w:t>
            </w:r>
          </w:p>
        </w:tc>
      </w:tr>
      <w:tr>
        <w:tc>
          <w:tcPr>
            <w:tcW w:w="4762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Государственная итоговая аттестация</w:t>
            </w:r>
          </w:p>
        </w:tc>
        <w:tc>
          <w:tcPr>
            <w:tcW w:w="430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216</w:t>
            </w:r>
          </w:p>
        </w:tc>
      </w:tr>
      <w:tr>
        <w:tc>
          <w:tcPr>
            <w:gridSpan w:val="2"/>
            <w:tcW w:w="907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Общий объем образовательной программы:</w:t>
            </w:r>
          </w:p>
        </w:tc>
      </w:tr>
      <w:tr>
        <w:tc>
          <w:tcPr>
            <w:tcW w:w="4762" w:type="dxa"/>
          </w:tcPr>
          <w:p>
            <w:pPr>
              <w:pStyle w:val="0"/>
            </w:pPr>
            <w:r>
              <w:rPr>
                <w:sz w:val="24"/>
              </w:rPr>
              <w:t xml:space="preserve">на базе среднего общего образования</w:t>
            </w:r>
          </w:p>
        </w:tc>
        <w:tc>
          <w:tcPr>
            <w:tcW w:w="430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2952</w:t>
            </w:r>
          </w:p>
        </w:tc>
      </w:tr>
      <w:tr>
        <w:tblPrEx>
          <w:tblBorders>
            <w:insideH w:val="nil"/>
          </w:tblBorders>
        </w:tblPrEx>
        <w:tc>
          <w:tcPr>
            <w:tcW w:w="4762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 базе основного общего образования, включая получение среднего общего образования на основе требований федерального государственного образовательного стандарта среднего общего образования</w:t>
            </w:r>
          </w:p>
        </w:tc>
        <w:tc>
          <w:tcPr>
            <w:tcW w:w="4308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4428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2"/>
            <w:tcW w:w="907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29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      <w:r>
                <w:rPr>
                  <w:sz w:val="24"/>
                  <w:color w:val="0000ff"/>
                </w:rPr>
                <w:t xml:space="preserve">Приказа</w:t>
              </w:r>
            </w:hyperlink>
            <w:r>
              <w:rPr>
                <w:sz w:val="24"/>
              </w:rPr>
              <w:t xml:space="preserve"> Минпросвещения России от 03.07.2024 N 464)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2.2. Образовательная программа включает: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социально-гуманитарный цикл;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общепрофессиональный цикл;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профессиональный цикл.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2.3. В рамках образовательной программы выделяются обязательная часть и часть, формируемая участниками образовательных отношений (вариативная часть).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Обязательная часть образовательной программы направлена на формирование общих и профессиональных компетенций, предусмотренных </w:t>
      </w:r>
      <w:hyperlink w:history="0" w:anchor="P147" w:tooltip="III. ТРЕБОВАНИЯ К РЕЗУЛЬТАТАМ ОСВОЕНИЯ">
        <w:r>
          <w:rPr>
            <w:sz w:val="24"/>
            <w:color w:val="0000ff"/>
          </w:rPr>
          <w:t xml:space="preserve">главой III</w:t>
        </w:r>
      </w:hyperlink>
      <w:r>
        <w:rPr>
          <w:sz w:val="24"/>
        </w:rPr>
        <w:t xml:space="preserve"> ФГОС СПО. Объем обязательной части без учета объема государственной итоговой аттестации должен составлять не более 70 процентов от общего объема времени, отведенного на освоение образовательной программы.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Вариативная часть образовательной программы объемом не менее 30 процентов от общего объема времени, отведенного на освоение образовательной программы, дает возможность дальнейшего развития общих и профессиональных компетенций, в том числе за счет расширения основных видов деятельности, введения дополнительных видов деятельности, а также профессиональных компетенций, необходимых для обеспечения конкурентоспособности выпускника в соответствии с потребностями регионального рынка труда, а также с учетом требований цифровой экономики.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Конкретное соотношение обязательной и вариативной части образовательной программы, объемные параметры циклов и практики образовательная организация определяет самостоятельно в соответствии с требованиями настоящего пункта, а также с учетом ПОП.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30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Минпросвещения России от 03.07.2024 N 464)</w:t>
      </w:r>
    </w:p>
    <w:bookmarkStart w:id="125" w:name="P125"/>
    <w:bookmarkEnd w:id="125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2.4. Образовательная программа разрабатывается образовательной организацией в соответствии с ФГОС СПО и с учетом ПОП и предполагает освоение следующих видов деятельности: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31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Минпросвещения России от 03.07.2024 N 464)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внедрение средств автоматизации и систем автоматического управления технологическими процессами;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эксплуатация электронного оборудования и систем автоматического управления;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организация технического обслуживания, ремонта и замены технических средств электронного оборудования и систем автоматического управления.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2.5. Образовательная организация при необходимости самостоятельно формирует виды деятельности в дополнение к видам деятельности, указанным в </w:t>
      </w:r>
      <w:hyperlink w:history="0" w:anchor="P125" w:tooltip="2.4. Образовательная программа разрабатывается образовательной организацией в соответствии с ФГОС СПО и с учетом ПОП и предполагает освоение следующих видов деятельности:">
        <w:r>
          <w:rPr>
            <w:sz w:val="24"/>
            <w:color w:val="0000ff"/>
          </w:rPr>
          <w:t xml:space="preserve">пункте 2.4</w:t>
        </w:r>
      </w:hyperlink>
      <w:r>
        <w:rPr>
          <w:sz w:val="24"/>
        </w:rPr>
        <w:t xml:space="preserve"> ФГОС СПО, в рамках вариативной части.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2.6. При освоении социально-гуманитарного, общепрофессионального и профессионального циклов (далее - учебные циклы) выделяется объем учебных занятий, практики (в профессиональном цикле) и самостоятельной работы.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проведение учебных занятий и практики должно быть выделено не менее 70 процентов от объема учебных циклов образовательной программы в очной форме обучения, не менее 25 процентов - в очно-заочной форме обучения и не менее 10 процентов - в заочной форме обучения.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учебные циклы включается промежуточная аттестация обучающихся, которая осуществляется в рамках освоения указанных циклов в соответствии с формой, определяемой образовательной организацией, и оценочными материалами, позволяющими оценить достижение запланированных по отдельным дисциплинам (модулям) и практикам результатов обучения.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2.7. Обязательная часть социально-гуманитарного цикла образовательной программы должна предусматривать изучение следующих дисциплин: "История России", "Иностранный язык в профессиональной деятельности", "Безопасность жизнедеятельности", "Физическая культура", "Основы бережливого производства", "Основы финансовой грамотности".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Общий объем дисциплины "Безопасность жизнедеятельности" в очной форме обучения не может быть менее 68 академических часов, из них на освоение основ военной службы (для юношей) - не менее 48 академических часов; для подгрупп девушек это время может быть использовано на освоение основ медицинских знаний.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Дисциплина "Физическая культура" должна способствовать формированию физической культуры выпускника и способности направленного использования средств физической культуры и спорта для сохранения и укрепления здоровья, психофизической подготовке к профессиональной деятельности, предупреждению профессиональных заболеваний.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обучающихся инвалидов и лиц с ограниченными возможностями здоровья образовательная организация устанавливает особый порядок освоения дисциплины "Физическая культура" с учетом состояния их здоровья.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2.8. Обязательная часть общепрофессионального цикла образовательной программы должна предусматривать изучение следующих дисциплин: "Инженерная графика", "Электротехника", "Метрология и стандартизация и сертификация", "Техническая механика".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2.9. Профессиональный цикл образовательной программы включает профессиональные модули, которые формируются в соответствии с видами деятельности, предусмотренными </w:t>
      </w:r>
      <w:hyperlink w:history="0" w:anchor="P125" w:tooltip="2.4. Образовательная программа разрабатывается образовательной организацией в соответствии с ФГОС СПО и с учетом ПОП и предполагает освоение следующих видов деятельности:">
        <w:r>
          <w:rPr>
            <w:sz w:val="24"/>
            <w:color w:val="0000ff"/>
          </w:rPr>
          <w:t xml:space="preserve">пунктом 2.4</w:t>
        </w:r>
      </w:hyperlink>
      <w:r>
        <w:rPr>
          <w:sz w:val="24"/>
        </w:rPr>
        <w:t xml:space="preserve"> ФГОС СПО, а также дополнительными видами деятельности, сформированными образовательными организациями самостоятельно. В состав профессионального модуля входит один или несколько междисциплинарных курсов, которые устанавливаются образовательной организацией самостоятельно с учетом ПОП. Объем профессионального модуля составляет не менее 4 зачетных единиц.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32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Минпросвещения России от 03.07.2024 N 464)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2.10. Практика входит в профессиональный цикл и имеет следующие виды - учебная практика и производственная практика, которые реализуются в форме практической подготовки. Учебная и производственная практики реализуются как в несколько периодов, так и рассредоточенно, чередуясь с учебными занятиями. Типы практики устанавливаются образовательной организацией самостоятельно с учетом ПОП.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33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Минпросвещения России от 03.07.2024 N 464)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2.11. Образовательная организация должна предоставлять инвалидам и лицам с ограниченными возможностями здоровья (по их заявлению) возможность обучения по образовательной программе, учитывающей особенности их психофизического развития, индивидуальных возможностей и, при необходимости, обеспечивающей коррекцию нарушений развития и социальную адаптацию указанных лиц.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2.12. Государственная итоговая аттестация проводится в форме демонстрационного экзамена и защиты дипломного проекта (работы).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2.13. Государственная итоговая аттестация завершается присвоением квалификации специалиста среднего звена, указанной в </w:t>
      </w:r>
      <w:hyperlink w:history="0" w:anchor="P44" w:tooltip="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при реализации образовательных программ среднего профессионального образования - программ подготовки специалистов среднего звена по специальности 27.02.04 Автоматические системы управления (далее соответственно - ФГОС СПО, образовательная программа, специальность) в соответствии с квалификацией специалиста среднего звена &quot;техник&quot; &lt;1&gt;.">
        <w:r>
          <w:rPr>
            <w:sz w:val="24"/>
            <w:color w:val="0000ff"/>
          </w:rPr>
          <w:t xml:space="preserve">пункте 1.1</w:t>
        </w:r>
      </w:hyperlink>
      <w:r>
        <w:rPr>
          <w:sz w:val="24"/>
        </w:rPr>
        <w:t xml:space="preserve"> ФГОС СПО.</w:t>
      </w:r>
    </w:p>
    <w:p>
      <w:pPr>
        <w:pStyle w:val="0"/>
        <w:jc w:val="both"/>
      </w:pPr>
      <w:r>
        <w:rPr>
          <w:sz w:val="24"/>
        </w:rPr>
      </w:r>
    </w:p>
    <w:bookmarkStart w:id="147" w:name="P147"/>
    <w:bookmarkEnd w:id="147"/>
    <w:p>
      <w:pPr>
        <w:pStyle w:val="2"/>
        <w:outlineLvl w:val="1"/>
        <w:jc w:val="center"/>
      </w:pPr>
      <w:r>
        <w:rPr>
          <w:sz w:val="24"/>
        </w:rPr>
        <w:t xml:space="preserve">III. ТРЕБОВАНИЯ К РЕЗУЛЬТАТАМ ОСВОЕНИЯ</w:t>
      </w:r>
    </w:p>
    <w:p>
      <w:pPr>
        <w:pStyle w:val="2"/>
        <w:jc w:val="center"/>
      </w:pPr>
      <w:r>
        <w:rPr>
          <w:sz w:val="24"/>
        </w:rPr>
        <w:t xml:space="preserve">ОБРАЗОВАТЕЛЬНОЙ ПРОГРАММЫ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3.1. В результате освоения образовательной программы у выпускника должны быть сформированы общие и профессиональные компетенции.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3.2. Выпускник, освоивший образовательную программу, должен обладать следующими общими компетенциями (далее - ОК):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01. Выбирать способы решения задач профессиональной деятельности применительно к различным контекстам;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34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Минпросвещения России от 03.07.2024 N 464)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04. Эффективно взаимодействовать и работать в коллективе и команде;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35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Минпросвещения России от 03.07.2024 N 464)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09. Пользоваться профессиональной документацией на государственном и иностранном языках.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3.3. Выпускник, освоивший образовательную программу, должен обладать профессиональными компетенциями (далее - ПК), соответствующими видам деятельности (таблица N 2), предусмотренным </w:t>
      </w:r>
      <w:hyperlink w:history="0" w:anchor="P125" w:tooltip="2.4. Образовательная программа разрабатывается образовательной организацией в соответствии с ФГОС СПО и с учетом ПОП и предполагает освоение следующих видов деятельности:">
        <w:r>
          <w:rPr>
            <w:sz w:val="24"/>
            <w:color w:val="0000ff"/>
          </w:rPr>
          <w:t xml:space="preserve">пунктом 2.4</w:t>
        </w:r>
      </w:hyperlink>
      <w:r>
        <w:rPr>
          <w:sz w:val="24"/>
        </w:rPr>
        <w:t xml:space="preserve"> ФГОС СПО, сформированными в том числе на основе профессиональных стандартов (при наличии), указанных в ПОП: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36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Минпросвещения России от 03.07.2024 N 464)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N 2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004"/>
        <w:gridCol w:w="6066"/>
      </w:tblGrid>
      <w:tr>
        <w:tc>
          <w:tcPr>
            <w:tcW w:w="30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Виды деятельности</w:t>
            </w:r>
          </w:p>
        </w:tc>
        <w:tc>
          <w:tcPr>
            <w:tcW w:w="60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Профессиональные компетенции, соответствующие видам деятельности</w:t>
            </w:r>
          </w:p>
        </w:tc>
      </w:tr>
      <w:tr>
        <w:tc>
          <w:tcPr>
            <w:tcW w:w="30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606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</w:tr>
      <w:tr>
        <w:tc>
          <w:tcPr>
            <w:tcW w:w="300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внедрение средств автоматизации и систем автоматического управления технологическими процессами</w:t>
            </w:r>
          </w:p>
        </w:tc>
        <w:tc>
          <w:tcPr>
            <w:tcW w:w="606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ПК 1.1. Проводить анализ технологических операций производства и разрабатывать предложения по автоматизации производственных процессов.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1.2. Составлять схемы специализированных узлов, блоков, устройств и систем автоматического управления технологическими процессами.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1.3. Разрабатывать техническую документацию по эксплуатации и ремонту электронного оборудования и систем автоматического управления технологическими процессами, безопасному ведению работ при их обслуживании.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1.4. Планировать предварительные испытания и проводить опытную эксплуатацию электронного оборудования и систем автоматического управления;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1.5. Проводить работы по монтажу, испытаниям, наладке и сдаче в эксплуатацию электронного оборудования и систем автоматического управления.</w:t>
            </w:r>
          </w:p>
        </w:tc>
      </w:tr>
      <w:tr>
        <w:tc>
          <w:tcPr>
            <w:tcW w:w="300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эксплуатация электронного оборудования и систем автоматического управления</w:t>
            </w:r>
          </w:p>
        </w:tc>
        <w:tc>
          <w:tcPr>
            <w:tcW w:w="606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ПК 2.1. Применять электронное оборудование и системы автоматического управления с учетом специфики технологического процесса.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2.2. Контролировать и анализировать функционирование систем автоматического управления в процессе эксплуатации.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2.3. Проводить регламентные и профилактические работы, настройку оборудования и прикладного программного обеспечения автоматических систем управления.</w:t>
            </w:r>
          </w:p>
        </w:tc>
      </w:tr>
      <w:tr>
        <w:tc>
          <w:tcPr>
            <w:tcW w:w="300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организация технического обслуживания, ремонта и замены технических средств электронного оборудования и систем автоматического управления</w:t>
            </w:r>
          </w:p>
        </w:tc>
        <w:tc>
          <w:tcPr>
            <w:tcW w:w="606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ПК 3.1. Диагностировать электронное оборудование и системы автоматического управления.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3.2. Проводить тестовую проверку, профилактический осмотр и регулировку электронного оборудования и систем автоматического управления.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3.3. Производить ремонт технических средств электронного оборудования и систем автоматического управления.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3.4. Консультировать пользователей автоматических систем управления.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3.4. Образовательная организация при необходимости самостоятельно включает в образовательную программу дополнительные профессиональные компетенции по видам деятельности, установленным в соответствии с </w:t>
      </w:r>
      <w:hyperlink w:history="0" w:anchor="P125" w:tooltip="2.4. Образовательная программа разрабатывается образовательной организацией в соответствии с ФГОС СПО и с учетом ПОП и предполагает освоение следующих видов деятельности:">
        <w:r>
          <w:rPr>
            <w:sz w:val="24"/>
            <w:color w:val="0000ff"/>
          </w:rPr>
          <w:t xml:space="preserve">пунктом 2.4</w:t>
        </w:r>
      </w:hyperlink>
      <w:r>
        <w:rPr>
          <w:sz w:val="24"/>
        </w:rPr>
        <w:t xml:space="preserve"> ФГОС СПО, а также по видам деятельности, сформированным в вариативной части образовательной программы для учета потребностей регионального рынка труда.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Образовательная организация при необходимости вводит в вариативную часть учебных циклов образовательной программы модуль по освоению компетенций цифровой экономики, соответствующих одному или нескольким видам деятельности, осваиваемым в рамках образовательной программы.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3.5. Образовательная организация с учетом ПОП самостоятельно планирует результаты обучения по отдельным дисциплинам (модулям) и практикам, которые должны быть соотнесены с требуемыми результатами освоения образовательной программы.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37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Минпросвещения России от 03.07.2024 N 464)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Совокупность запланированных результатов обучения по дисциплинам (модулям) и практикам должна обеспечивать выпускнику освоение всех компетенций, установленных образовательной программой.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 Обучающиеся, осваивающие образовательную программу, могут освоить профессию рабочего, должность служащего (одну или несколько) в соответствии с </w:t>
      </w:r>
      <w:hyperlink w:history="0" r:id="rId38" w:tooltip="Приказ Минпросвещения России от 14.07.2023 N 534 (ред. от 25.06.2026) &quot;Об утверждении Перечня профессий рабочих, должностей служащих, по которым осуществляется профессиональное обучение&quot; (Зарегистрировано в Минюсте России 14.08.2023 N 74776) {КонсультантПлюс}">
        <w:r>
          <w:rPr>
            <w:sz w:val="24"/>
            <w:color w:val="0000ff"/>
          </w:rPr>
          <w:t xml:space="preserve">перечнем</w:t>
        </w:r>
      </w:hyperlink>
      <w:r>
        <w:rPr>
          <w:sz w:val="24"/>
        </w:rPr>
        <w:t xml:space="preserve"> профессий рабочих, должностей служащих, по которым осуществляется профессиональное обучение &lt;6&gt;.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&lt;6&gt; </w:t>
      </w:r>
      <w:hyperlink w:history="0" r:id="rId39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Часть 7 статьи 73</w:t>
        </w:r>
      </w:hyperlink>
      <w:r>
        <w:rPr>
          <w:sz w:val="24"/>
        </w:rP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2020, N 22, ст. 3379).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IV. ТРЕБОВАНИЯ К УСЛОВИЯМ РЕАЛИЗАЦИИ</w:t>
      </w:r>
    </w:p>
    <w:p>
      <w:pPr>
        <w:pStyle w:val="2"/>
        <w:jc w:val="center"/>
      </w:pPr>
      <w:r>
        <w:rPr>
          <w:sz w:val="24"/>
        </w:rPr>
        <w:t xml:space="preserve">ОБРАЗОВАТЕЛЬНОЙ ПРОГРАММЫ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4.1. Образовательная организация осуществляет образовательную деятельность по реализации образовательной программы среднего профессионального образования в соответствии с действующими санитарными нормами и правилами &lt;7&gt;.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&lt;7&gt; Федеральный </w:t>
      </w:r>
      <w:hyperlink w:history="0" r:id="rId40" w:tooltip="Федеральный закон от 30.03.1999 N 52-ФЗ (ред. от 10.06.2026) &quot;О санитарно-эпидемиологическом благополучии населения&quot; {КонсультантПлюс}">
        <w:r>
          <w:rPr>
            <w:sz w:val="24"/>
            <w:color w:val="0000ff"/>
          </w:rPr>
          <w:t xml:space="preserve">закон</w:t>
        </w:r>
      </w:hyperlink>
      <w:r>
        <w:rPr>
          <w:sz w:val="24"/>
        </w:rPr>
        <w:t xml:space="preserve"> от 30 марта 1999 г. N 52-ФЗ "О санитарно-эпидемиологическом благополучии населения" (Собрание законодательства Российской Федерации, 1999, N 14, ст. 1650; 2021, N 27, ст. 5185); санитарные правила </w:t>
      </w:r>
      <w:hyperlink w:history="0" r:id="rId41" w:tooltip="Постановление Главного государственного санитарного врача РФ от 28.09.2020 N 28 (ред. от 24.12.2025) &quot;Об утверждении санитарных правил СП 2.4.3648-20 &quot;Санитарно-эпидемиологические требования к организациям воспитания и обучения, отдыха и оздоровления детей и молодежи&quot; (вместе с &quot;СП 2.4.3648-20. Санитарные правила...&quot;) (Зарегистрировано в Минюсте России 18.12.2020 N 61573) ------------ Утратил силу или отменен {КонсультантПлюс}">
        <w:r>
          <w:rPr>
            <w:sz w:val="24"/>
            <w:color w:val="0000ff"/>
          </w:rPr>
          <w:t xml:space="preserve">СП 2.4.3648-20</w:t>
        </w:r>
      </w:hyperlink>
      <w:r>
        <w:rPr>
          <w:sz w:val="24"/>
        </w:rPr>
        <w:t xml:space="preserve"> "Санитарно-эпидемиологические требования к организациям воспитания и обучения, отдыха и оздоровления детей и молодежи", утвержденные постановлением Главного государственного санитарного врача Российской Федерации от 28 сентября 2020 г. N 28 (зарегистрировано Министерством юстиции Российской Федерации 18 декабря 2020 г., регистрационный N 61573); санитарно-эпидемиологические правила и нормы </w:t>
      </w:r>
      <w:hyperlink w:history="0" r:id="rId42" w:tooltip="Постановление Главного государственного санитарного врача РФ от 27.10.2020 N 32 (ред. от 22.08.2024) &quot;Об утверждении санитарно-эпидемиологических правил и норм СанПиН 2.3/2.4.3590-20 &quot;Санитарно-эпидемиологические требования к организации общественного питания населения&quot; (вместе с &quot;СанПиН 2.3/2.4.3590-20. Санитарно-эпидемиологические правила и нормы...&quot;) (Зарегистрировано в Минюсте России 11.11.2020 N 60833) ------------ Утратил силу или отменен {КонсультантПлюс}">
        <w:r>
          <w:rPr>
            <w:sz w:val="24"/>
            <w:color w:val="0000ff"/>
          </w:rPr>
          <w:t xml:space="preserve">СанПиН 2.3/2.4.3590-20</w:t>
        </w:r>
      </w:hyperlink>
      <w:r>
        <w:rPr>
          <w:sz w:val="24"/>
        </w:rPr>
        <w:t xml:space="preserve"> "Санитарно-эпидемиологические требования к организации общественного питания населения", утвержденные постановлением Главного государственного санитарного врача Российской Федерации от 27 октября 2020 г. N 32 (зарегистрировано Министерством юстиции Российской Федерации 11 ноября 2020 г., регистрационный N 60833); санитарные правила и нормы </w:t>
      </w:r>
      <w:hyperlink w:history="0" r:id="rId43" w:tooltip="Постановление Главного государственного санитарного врача РФ от 28.01.2021 N 2 (ред. от 24.12.2025) &quot;Об утверждении санитарных правил и норм СанПиН 1.2.3685-21 &quot;Гигиенические нормативы и требования к обеспечению безопасности и (или) безвредности для человека факторов среды обитания&quot; (вместе с &quot;СанПиН 1.2.3685-21. Санитарные правила и нормы...&quot;) (Зарегистрировано в Минюсте России 29.01.2021 N 62296) (с изм. и доп., вступ. в силу с 01.03.2026) {КонсультантПлюс}">
        <w:r>
          <w:rPr>
            <w:sz w:val="24"/>
            <w:color w:val="0000ff"/>
          </w:rPr>
          <w:t xml:space="preserve">СанПиН 1.2.3685-21</w:t>
        </w:r>
      </w:hyperlink>
      <w:r>
        <w:rPr>
          <w:sz w:val="24"/>
        </w:rPr>
        <w:t xml:space="preserve"> "Гигиенические нормативы и требования к обеспечению безопасности и (или) безвредности для человека факторов среды обитания", утвержденные постановлением Главного государственного санитарного врача Российской Федерации от 28 января 2021 г. N 2 (зарегистрировано Министерством юстиции Российской Федерации 29 января 2021 г., регистрационный N 62296).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4.2. Требования к условиям реализации образовательной программы включают в себя общесистемные требования, требования к материально-техническому, учебно-методическому обеспечению, к организации воспитания обучающихся, кадровым и финансовым условиям реализации образовательной программы: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4.3. Общесистемные требования к условиям реализации образовательной программы: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образовательная организация должна располагать на праве собственности или ином законном основании материально-технической базой, обеспечивающей проведение всех видов учебной деятельности обучающихся, включая проведение демонстрационного экзамена, предусмотренных учебным планом, с учетом ПОП;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44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Минпросвещения России от 03.07.2024 N 464)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в случае реализации образовательной программы с использованием сетевой формы требования к реализации образовательной программы должны обеспечиваться совокупностью ресурсов материально-технического и учебно-методического обеспечения, предоставляемого организациями, участвующими в реализации образовательной программы с использованием сетевой формы.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4.4. Требования к материально-техническому и учебно-методическому обеспечению реализации образовательной программы: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специальные помещения должны представлять собой учебные аудитории, лаборатории, мастерские, оснащенные оборудованием, техническими средствами обучения для проведения занятий всех видов, предусмотренных образовательной программой, в том числе групповых и индивидуальных консультаций, а также для проведения текущего контроля, промежуточной и государственной итоговой аттестации, помещения для организации самостоятельной и воспитательной работы;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все виды учебной деятельности обучающихся, предусмотренные учебным планом, включая промежуточную и государственную итоговую аттестацию, должны быть обеспечены расходными материалами;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помещения для организации самостоятельной и воспитательной работы должны быть оснащены компьютерной техникой с возможностью подключения к информационно-телекоммуникационной сети "Интернет" и обеспечением доступа в электронную информационно-образовательную среду образовательной организации (при наличии);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допускается замена оборудования его виртуальными аналогами;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образовательная организация должна быть обеспечена необходимым комплектом лицензионного и свободно распространяемого программного обеспечения, в том числе отечественного производства;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при использовании в образовательном процессе печатных изданий библиотечный фонд должен быть укомплектован печатными изданиями из расчета не менее 0,25 экземпляра каждого из изданий, указанных в рабочих программах дисциплин (модулей), практик, на одного обучающегося из числа лиц, одновременно осваивающих соответствующую дисциплину (модуль), проходящих соответствующую практику;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ж) в качестве основной литературы образовательная организация использует учебники, учебные пособия, предусмотренные ПОП;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45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Минпросвещения России от 03.07.2024 N 464)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з) в случае наличия электронной информационно-образовательной среды допускается замена печатного библиотечного фонда с предоставлением права одновременного доступа не менее 25 процентов обучающихся к цифровой (электронной) библиотеке;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и) обучающимся должен быть обеспечен доступ (удаленный доступ), в том числе в случае применения электронного обучения, дистанционных образовательных технологий, к современным профессиональным базам данных и информационным справочным системам, состав которых определяется в рабочих программах дисциплин (модулей) и подлежит обновлению (при необходимости);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к) обучающиеся инвалиды и лица с ограниченными возможностями здоровья должны быть обеспечены печатными и (или) электронными учебными изданиями, адаптированными при необходимости для обучения указанных обучающихся;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л) образовательная программа должна обеспечиваться учебно-методической документацией по всем учебным дисциплинам (модулям), видам практики, видам государственной итоговой аттестации;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м) рекомендации по иному материально-техническому и учебно-методическому обеспечению реализации образовательной программы определяются ПОП.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46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Минпросвещения России от 03.07.2024 N 464)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4.5. Требования к кадровым условиям реализации образовательной программы: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одной из областей профессиональной деятельности, указанных в </w:t>
      </w:r>
      <w:hyperlink w:history="0" w:anchor="P77" w:tooltip="1.13. Области профессиональной деятельности, в которых выпускники, освоившие образовательную программу, могут осуществлять профессиональную деятельность: 28 Производство машин и оборудования, 40 Сквозные виды профессиональной деятельности в промышленности &lt;5&gt;.">
        <w:r>
          <w:rPr>
            <w:sz w:val="24"/>
            <w:color w:val="0000ff"/>
          </w:rPr>
          <w:t xml:space="preserve">пункте 1.13</w:t>
        </w:r>
      </w:hyperlink>
      <w:r>
        <w:rPr>
          <w:sz w:val="24"/>
        </w:rPr>
        <w:t xml:space="preserve"> ФГОС СПО (имеющих стаж работы в данной профессиональной области не менее трех лет);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квалификация педагогических работников образовательной организации должна отвечать квалификационным требованиям, указанным в квалификационных справочниках и (или) профессиональных стандартах (при наличии);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педагогические 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одной из областей профессиональной деятельности, указанных в </w:t>
      </w:r>
      <w:hyperlink w:history="0" w:anchor="P77" w:tooltip="1.13. Области профессиональной деятельности, в которых выпускники, освоившие образовательную программу, могут осуществлять профессиональную деятельность: 28 Производство машин и оборудования, 40 Сквозные виды профессиональной деятельности в промышленности &lt;5&gt;.">
        <w:r>
          <w:rPr>
            <w:sz w:val="24"/>
            <w:color w:val="0000ff"/>
          </w:rPr>
          <w:t xml:space="preserve">пункте 1.13</w:t>
        </w:r>
      </w:hyperlink>
      <w:r>
        <w:rPr>
          <w:sz w:val="24"/>
        </w:rPr>
        <w:t xml:space="preserve"> ФГОС СПО,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одной из областей профессиональной деятельности, указанных в </w:t>
      </w:r>
      <w:hyperlink w:history="0" w:anchor="P77" w:tooltip="1.13. Области профессиональной деятельности, в которых выпускники, освоившие образовательную программу, могут осуществлять профессиональную деятельность: 28 Производство машин и оборудования, 40 Сквозные виды профессиональной деятельности в промышленности &lt;5&gt;.">
        <w:r>
          <w:rPr>
            <w:sz w:val="24"/>
            <w:color w:val="0000ff"/>
          </w:rPr>
          <w:t xml:space="preserve">пункте 1.13</w:t>
        </w:r>
      </w:hyperlink>
      <w:r>
        <w:rPr>
          <w:sz w:val="24"/>
        </w:rPr>
        <w:t xml:space="preserve"> ФГОС СПО,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процентов.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4.6. Требование к финансовым условиям реализации образовательной программы: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финансовое обеспечение реализации образовательной программы должно осуществляться в объеме не ниже определенного в соответствии с бюджетным законодательством Российской Федерации &lt;8&gt; и Федеральным </w:t>
      </w:r>
      <w:hyperlink w:history="0" r:id="rId47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29 декабря 2012 г. N 273-ФЗ "Об образовании в Российской Федерации" &lt;9&gt;.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&lt;8&gt; Бюджетный </w:t>
      </w:r>
      <w:hyperlink w:history="0" r:id="rId48" w:tooltip="&quot;Бюджетный кодекс Российской Федерации&quot; от 31.07.1998 N 145-ФЗ (ред. от 26.06.2026) (с изм. и доп., вступ. в силу с 01.09.2026) {КонсультантПлюс}">
        <w:r>
          <w:rPr>
            <w:sz w:val="24"/>
            <w:color w:val="0000ff"/>
          </w:rPr>
          <w:t xml:space="preserve">кодекс</w:t>
        </w:r>
      </w:hyperlink>
      <w:r>
        <w:rPr>
          <w:sz w:val="24"/>
        </w:rPr>
        <w:t xml:space="preserve"> Российской Федерации (Собрание законодательства Российской Федерации, 1998, N 31, ст. 3823; официальный интернет-портал правовой информации (</w:t>
      </w:r>
      <w:hyperlink w:history="0" r:id="rId49">
        <w:r>
          <w:rPr>
            <w:sz w:val="24"/>
            <w:color w:val="0000ff"/>
          </w:rPr>
          <w:t xml:space="preserve">www.pravo.gov.ru</w:t>
        </w:r>
      </w:hyperlink>
      <w:r>
        <w:rPr>
          <w:sz w:val="24"/>
        </w:rPr>
        <w:t xml:space="preserve">), 2022, 14 июля, N 0001202207140094).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&lt;9&gt; Собрание законодательства Российской Федерации, 2012, N 53, ст. 7598; официальный интернет-портал правовой информации (</w:t>
      </w:r>
      <w:hyperlink w:history="0" r:id="rId50">
        <w:r>
          <w:rPr>
            <w:sz w:val="24"/>
            <w:color w:val="0000ff"/>
          </w:rPr>
          <w:t xml:space="preserve">www.pravo.gov.ru</w:t>
        </w:r>
      </w:hyperlink>
      <w:r>
        <w:rPr>
          <w:sz w:val="24"/>
        </w:rPr>
        <w:t xml:space="preserve">), 2022, 14 июля, N 0001202207140056.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4.7. Требования к применяемым механизмам оценки качества образовательной программы: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качество образовательной программы определяется в рамках системы внутренней оценки, а также системы внешней оценки на добровольной основе;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в целях совершенствования образовательной программы образовательная организация при проведении регулярной внутренней оценки качества образовательной программы привлекает работодателей и их объединения, иных юридических и (или) физических лиц, включая педагогических работников образовательной организации;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внешняя оценка качества образовательной программы может осуществляться в рамках профессионально-общественной аккредитации, проводимой работодателями, их объединениями, а также уполномоченными ими организациями в целях признания качества и уровня подготовки выпускников, отвечающих требованиям профессиональных стандартов, требованиям рынка труда к специалистам соответствующего профиля.</w:t>
      </w:r>
    </w:p>
    <w:p>
      <w:pPr>
        <w:pStyle w:val="0"/>
        <w:jc w:val="both"/>
      </w:pPr>
      <w:r>
        <w:rPr>
          <w:sz w:val="24"/>
        </w:rPr>
        <w:t xml:space="preserve">(пп. "в" в ред. </w:t>
      </w:r>
      <w:hyperlink w:history="0" r:id="rId51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Минпросвещения России от 03.07.2024 N 464)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Минпросвещения России от 29.07.2022 N 633</w:t>
            <w:br/>
            <w:t>(ред. от 03.07.2024)</w:t>
            <w:br/>
            <w:t>"Об утверждении федерального государственного обра...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07.10.2026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483090&amp;date=07.10.2026&amp;dst=111558&amp;field=134" TargetMode = "External"/><Relationship Id="rId9" Type="http://schemas.openxmlformats.org/officeDocument/2006/relationships/hyperlink" Target="https://login.consultant.ru/link/?req=doc&amp;base=LAW&amp;n=532973&amp;date=07.10.2026&amp;dst=100051&amp;field=134" TargetMode = "External"/><Relationship Id="rId10" Type="http://schemas.openxmlformats.org/officeDocument/2006/relationships/hyperlink" Target="https://login.consultant.ru/link/?req=doc&amp;base=LAW&amp;n=481262&amp;date=07.10.2026&amp;dst=100072&amp;field=134" TargetMode = "External"/><Relationship Id="rId11" Type="http://schemas.openxmlformats.org/officeDocument/2006/relationships/hyperlink" Target="https://login.consultant.ru/link/?req=doc&amp;base=LAW&amp;n=398444&amp;date=07.10.2026&amp;dst=100012&amp;field=134" TargetMode = "External"/><Relationship Id="rId12" Type="http://schemas.openxmlformats.org/officeDocument/2006/relationships/hyperlink" Target="https://login.consultant.ru/link/?req=doc&amp;base=LAW&amp;n=530300&amp;date=07.10.2026&amp;dst=100995&amp;field=134" TargetMode = "External"/><Relationship Id="rId13" Type="http://schemas.openxmlformats.org/officeDocument/2006/relationships/hyperlink" Target="https://login.consultant.ru/link/?req=doc&amp;base=LAW&amp;n=483090&amp;date=07.10.2026&amp;dst=111558&amp;field=134" TargetMode = "External"/><Relationship Id="rId14" Type="http://schemas.openxmlformats.org/officeDocument/2006/relationships/hyperlink" Target="https://login.consultant.ru/link/?req=doc&amp;base=LAW&amp;n=530300&amp;date=07.10.2026&amp;dst=100562&amp;field=134" TargetMode = "External"/><Relationship Id="rId15" Type="http://schemas.openxmlformats.org/officeDocument/2006/relationships/hyperlink" Target="https://login.consultant.ru/link/?req=doc&amp;base=LAW&amp;n=501142&amp;date=07.10.2026&amp;dst=4&amp;field=134" TargetMode = "External"/><Relationship Id="rId16" Type="http://schemas.openxmlformats.org/officeDocument/2006/relationships/hyperlink" Target="https://login.consultant.ru/link/?req=doc&amp;base=LAW&amp;n=483090&amp;date=07.10.2026&amp;dst=111559&amp;field=134" TargetMode = "External"/><Relationship Id="rId17" Type="http://schemas.openxmlformats.org/officeDocument/2006/relationships/hyperlink" Target="https://login.consultant.ru/link/?req=doc&amp;base=LAW&amp;n=501142&amp;date=07.10.2026&amp;dst=4&amp;field=134" TargetMode = "External"/><Relationship Id="rId18" Type="http://schemas.openxmlformats.org/officeDocument/2006/relationships/hyperlink" Target="https://login.consultant.ru/link/?req=doc&amp;base=LAW&amp;n=483090&amp;date=07.10.2026&amp;dst=111560&amp;field=134" TargetMode = "External"/><Relationship Id="rId19" Type="http://schemas.openxmlformats.org/officeDocument/2006/relationships/hyperlink" Target="https://login.consultant.ru/link/?req=doc&amp;base=LAW&amp;n=483090&amp;date=07.10.2026&amp;dst=111561&amp;field=134" TargetMode = "External"/><Relationship Id="rId20" Type="http://schemas.openxmlformats.org/officeDocument/2006/relationships/hyperlink" Target="https://login.consultant.ru/link/?req=doc&amp;base=LAW&amp;n=527217&amp;date=07.10.2026&amp;dst=446&amp;field=134" TargetMode = "External"/><Relationship Id="rId21" Type="http://schemas.openxmlformats.org/officeDocument/2006/relationships/hyperlink" Target="https://login.consultant.ru/link/?req=doc&amp;base=LAW&amp;n=527217&amp;date=07.10.2026&amp;dst=100249&amp;field=134" TargetMode = "External"/><Relationship Id="rId22" Type="http://schemas.openxmlformats.org/officeDocument/2006/relationships/hyperlink" Target="https://login.consultant.ru/link/?req=doc&amp;base=LAW&amp;n=214720&amp;date=07.10.2026&amp;dst=100104&amp;field=134" TargetMode = "External"/><Relationship Id="rId23" Type="http://schemas.openxmlformats.org/officeDocument/2006/relationships/hyperlink" Target="https://login.consultant.ru/link/?req=doc&amp;base=LAW&amp;n=214720&amp;date=07.10.2026&amp;dst=100116&amp;field=134" TargetMode = "External"/><Relationship Id="rId24" Type="http://schemas.openxmlformats.org/officeDocument/2006/relationships/hyperlink" Target="https://login.consultant.ru/link/?req=doc&amp;base=LAW&amp;n=214720&amp;date=07.10.2026&amp;dst=100047&amp;field=134" TargetMode = "External"/><Relationship Id="rId25" Type="http://schemas.openxmlformats.org/officeDocument/2006/relationships/hyperlink" Target="https://login.consultant.ru/link/?req=doc&amp;base=LAW&amp;n=483090&amp;date=07.10.2026&amp;dst=111562&amp;field=134" TargetMode = "External"/><Relationship Id="rId26" Type="http://schemas.openxmlformats.org/officeDocument/2006/relationships/hyperlink" Target="https://login.consultant.ru/link/?req=doc&amp;base=LAW&amp;n=483090&amp;date=07.10.2026&amp;dst=111564&amp;field=134" TargetMode = "External"/><Relationship Id="rId27" Type="http://schemas.openxmlformats.org/officeDocument/2006/relationships/hyperlink" Target="https://login.consultant.ru/link/?req=doc&amp;base=LAW&amp;n=411930&amp;date=07.10.2026&amp;dst=100030&amp;field=134" TargetMode = "External"/><Relationship Id="rId28" Type="http://schemas.openxmlformats.org/officeDocument/2006/relationships/hyperlink" Target="https://login.consultant.ru/link/?req=doc&amp;base=LAW&amp;n=483090&amp;date=07.10.2026&amp;dst=111566&amp;field=134" TargetMode = "External"/><Relationship Id="rId29" Type="http://schemas.openxmlformats.org/officeDocument/2006/relationships/hyperlink" Target="https://login.consultant.ru/link/?req=doc&amp;base=LAW&amp;n=483090&amp;date=07.10.2026&amp;dst=111568&amp;field=134" TargetMode = "External"/><Relationship Id="rId30" Type="http://schemas.openxmlformats.org/officeDocument/2006/relationships/hyperlink" Target="https://login.consultant.ru/link/?req=doc&amp;base=LAW&amp;n=483090&amp;date=07.10.2026&amp;dst=111578&amp;field=134" TargetMode = "External"/><Relationship Id="rId31" Type="http://schemas.openxmlformats.org/officeDocument/2006/relationships/hyperlink" Target="https://login.consultant.ru/link/?req=doc&amp;base=LAW&amp;n=483090&amp;date=07.10.2026&amp;dst=111579&amp;field=134" TargetMode = "External"/><Relationship Id="rId32" Type="http://schemas.openxmlformats.org/officeDocument/2006/relationships/hyperlink" Target="https://login.consultant.ru/link/?req=doc&amp;base=LAW&amp;n=483090&amp;date=07.10.2026&amp;dst=111580&amp;field=134" TargetMode = "External"/><Relationship Id="rId33" Type="http://schemas.openxmlformats.org/officeDocument/2006/relationships/hyperlink" Target="https://login.consultant.ru/link/?req=doc&amp;base=LAW&amp;n=483090&amp;date=07.10.2026&amp;dst=111581&amp;field=134" TargetMode = "External"/><Relationship Id="rId34" Type="http://schemas.openxmlformats.org/officeDocument/2006/relationships/hyperlink" Target="https://login.consultant.ru/link/?req=doc&amp;base=LAW&amp;n=483090&amp;date=07.10.2026&amp;dst=111583&amp;field=134" TargetMode = "External"/><Relationship Id="rId35" Type="http://schemas.openxmlformats.org/officeDocument/2006/relationships/hyperlink" Target="https://login.consultant.ru/link/?req=doc&amp;base=LAW&amp;n=483090&amp;date=07.10.2026&amp;dst=111584&amp;field=134" TargetMode = "External"/><Relationship Id="rId36" Type="http://schemas.openxmlformats.org/officeDocument/2006/relationships/hyperlink" Target="https://login.consultant.ru/link/?req=doc&amp;base=LAW&amp;n=483090&amp;date=07.10.2026&amp;dst=111585&amp;field=134" TargetMode = "External"/><Relationship Id="rId37" Type="http://schemas.openxmlformats.org/officeDocument/2006/relationships/hyperlink" Target="https://login.consultant.ru/link/?req=doc&amp;base=LAW&amp;n=483090&amp;date=07.10.2026&amp;dst=111586&amp;field=134" TargetMode = "External"/><Relationship Id="rId38" Type="http://schemas.openxmlformats.org/officeDocument/2006/relationships/hyperlink" Target="https://login.consultant.ru/link/?req=doc&amp;base=LAW&amp;n=540562&amp;date=07.10.2026&amp;dst=100019&amp;field=134" TargetMode = "External"/><Relationship Id="rId39" Type="http://schemas.openxmlformats.org/officeDocument/2006/relationships/hyperlink" Target="https://login.consultant.ru/link/?req=doc&amp;base=LAW&amp;n=527217&amp;date=07.10.2026&amp;dst=415&amp;field=134" TargetMode = "External"/><Relationship Id="rId40" Type="http://schemas.openxmlformats.org/officeDocument/2006/relationships/hyperlink" Target="https://login.consultant.ru/link/?req=doc&amp;base=LAW&amp;n=536587&amp;date=07.10.2026" TargetMode = "External"/><Relationship Id="rId41" Type="http://schemas.openxmlformats.org/officeDocument/2006/relationships/hyperlink" Target="https://login.consultant.ru/link/?req=doc&amp;base=LAW&amp;n=522968&amp;date=07.10.2026&amp;dst=100047&amp;field=134" TargetMode = "External"/><Relationship Id="rId42" Type="http://schemas.openxmlformats.org/officeDocument/2006/relationships/hyperlink" Target="https://login.consultant.ru/link/?req=doc&amp;base=LAW&amp;n=494597&amp;date=07.10.2026&amp;dst=100037&amp;field=134" TargetMode = "External"/><Relationship Id="rId43" Type="http://schemas.openxmlformats.org/officeDocument/2006/relationships/hyperlink" Target="https://login.consultant.ru/link/?req=doc&amp;base=LAW&amp;n=517341&amp;date=07.10.2026&amp;dst=100137&amp;field=134" TargetMode = "External"/><Relationship Id="rId44" Type="http://schemas.openxmlformats.org/officeDocument/2006/relationships/hyperlink" Target="https://login.consultant.ru/link/?req=doc&amp;base=LAW&amp;n=483090&amp;date=07.10.2026&amp;dst=111587&amp;field=134" TargetMode = "External"/><Relationship Id="rId45" Type="http://schemas.openxmlformats.org/officeDocument/2006/relationships/hyperlink" Target="https://login.consultant.ru/link/?req=doc&amp;base=LAW&amp;n=483090&amp;date=07.10.2026&amp;dst=111589&amp;field=134" TargetMode = "External"/><Relationship Id="rId46" Type="http://schemas.openxmlformats.org/officeDocument/2006/relationships/hyperlink" Target="https://login.consultant.ru/link/?req=doc&amp;base=LAW&amp;n=483090&amp;date=07.10.2026&amp;dst=111590&amp;field=134" TargetMode = "External"/><Relationship Id="rId47" Type="http://schemas.openxmlformats.org/officeDocument/2006/relationships/hyperlink" Target="https://login.consultant.ru/link/?req=doc&amp;base=LAW&amp;n=527217&amp;date=07.10.2026" TargetMode = "External"/><Relationship Id="rId48" Type="http://schemas.openxmlformats.org/officeDocument/2006/relationships/hyperlink" Target="https://login.consultant.ru/link/?req=doc&amp;base=LAW&amp;n=513926&amp;date=07.10.2026" TargetMode = "External"/><Relationship Id="rId49" Type="http://schemas.openxmlformats.org/officeDocument/2006/relationships/hyperlink" Target="www.pravo.gov.ru" TargetMode = "External"/><Relationship Id="rId50" Type="http://schemas.openxmlformats.org/officeDocument/2006/relationships/hyperlink" Target="www.pravo.gov.ru" TargetMode = "External"/><Relationship Id="rId51" Type="http://schemas.openxmlformats.org/officeDocument/2006/relationships/hyperlink" Target="https://login.consultant.ru/link/?req=doc&amp;base=LAW&amp;n=483090&amp;date=07.10.2026&amp;dst=111591&amp;field=13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Минпросвещения России от 29.07.2022 N 633
(ред. от 03.07.2024)
"Об утверждении федерального государственного образовательного стандарта среднего профессионального образования по специальности 27.02.04 Автоматические системы управления"
(Зарегистрировано в Минюсте России 31.08.2022 N 69868)</dc:title>
  <dcterms:created xsi:type="dcterms:W3CDTF">2026-10-07T10:21:00Z</dcterms:created>
</cp:coreProperties>
</file>